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AF" w:rsidRPr="00527E0C" w:rsidRDefault="00177FE5" w:rsidP="00BF305A">
      <w:pPr>
        <w:pStyle w:val="Title"/>
        <w:tabs>
          <w:tab w:val="left" w:pos="8080"/>
        </w:tabs>
        <w:jc w:val="right"/>
        <w:rPr>
          <w:rFonts w:cs="Arial"/>
        </w:rPr>
      </w:pPr>
      <w:r w:rsidRPr="00527E0C">
        <w:rPr>
          <w:rFonts w:cs="Arial"/>
        </w:rPr>
        <w:tab/>
      </w:r>
    </w:p>
    <w:p w:rsidR="00C327AF" w:rsidRPr="00527E0C" w:rsidRDefault="001A0B36" w:rsidP="00E84AD1">
      <w:pPr>
        <w:pStyle w:val="Title"/>
        <w:jc w:val="right"/>
        <w:rPr>
          <w:rFonts w:cs="Arial"/>
        </w:rPr>
      </w:pPr>
      <w:r w:rsidRPr="00527E0C">
        <w:rPr>
          <w:rFonts w:cs="Arial"/>
          <w:noProof/>
          <w:lang w:eastAsia="en-GB"/>
        </w:rPr>
        <mc:AlternateContent>
          <mc:Choice Requires="wps">
            <w:drawing>
              <wp:anchor distT="0" distB="0" distL="114300" distR="114300" simplePos="0" relativeHeight="251659776" behindDoc="0" locked="0" layoutInCell="1" allowOverlap="1" wp14:anchorId="1B37636C" wp14:editId="36EDE1CE">
                <wp:simplePos x="0" y="0"/>
                <wp:positionH relativeFrom="column">
                  <wp:posOffset>-278765</wp:posOffset>
                </wp:positionH>
                <wp:positionV relativeFrom="paragraph">
                  <wp:posOffset>35560</wp:posOffset>
                </wp:positionV>
                <wp:extent cx="264795" cy="266700"/>
                <wp:effectExtent l="0" t="0" r="190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C0B" w:rsidRPr="00EB26C4" w:rsidRDefault="00287C0B" w:rsidP="00EB26C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95pt;margin-top:2.8pt;width:20.85pt;height:2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" stroked="f">
                <v:textbox style="mso-fit-shape-to-text:t">
                  <w:txbxContent>
                    <w:p w:rsidR="00287C0B" w:rsidRPr="00EB26C4" w:rsidRDefault="00287C0B" w:rsidP="00EB26C4"/>
                  </w:txbxContent>
                </v:textbox>
              </v:shape>
            </w:pict>
          </mc:Fallback>
        </mc:AlternateContent>
      </w:r>
    </w:p>
    <w:p w:rsidR="0004481D" w:rsidRPr="00527E0C" w:rsidRDefault="0004481D">
      <w:pPr>
        <w:pStyle w:val="Title"/>
        <w:rPr>
          <w:rFonts w:cs="Arial"/>
        </w:rPr>
      </w:pPr>
    </w:p>
    <w:p w:rsidR="0004481D" w:rsidRPr="00527E0C" w:rsidRDefault="0004481D">
      <w:pPr>
        <w:pStyle w:val="Title"/>
        <w:rPr>
          <w:rFonts w:cs="Arial"/>
        </w:rPr>
      </w:pPr>
    </w:p>
    <w:p w:rsidR="0004481D" w:rsidRPr="00527E0C" w:rsidRDefault="0004481D">
      <w:pPr>
        <w:pStyle w:val="Title"/>
        <w:rPr>
          <w:rFonts w:cs="Arial"/>
        </w:rPr>
      </w:pPr>
    </w:p>
    <w:p w:rsidR="00E7545A" w:rsidRPr="00527E0C" w:rsidRDefault="00E7545A">
      <w:pPr>
        <w:jc w:val="center"/>
        <w:rPr>
          <w:b/>
          <w:bCs/>
        </w:rPr>
      </w:pPr>
    </w:p>
    <w:p w:rsidR="00E7545A" w:rsidRPr="00527E0C" w:rsidRDefault="00E7545A">
      <w:pPr>
        <w:jc w:val="center"/>
        <w:rPr>
          <w:b/>
          <w:bCs/>
        </w:rPr>
      </w:pPr>
    </w:p>
    <w:p w:rsidR="00E7545A" w:rsidRPr="00527E0C" w:rsidRDefault="00E7545A">
      <w:pPr>
        <w:jc w:val="center"/>
        <w:rPr>
          <w:b/>
          <w:bCs/>
        </w:rPr>
      </w:pPr>
    </w:p>
    <w:p w:rsidR="00E7545A" w:rsidRPr="00527E0C" w:rsidRDefault="00E7545A">
      <w:pPr>
        <w:jc w:val="center"/>
        <w:rPr>
          <w:b/>
          <w:bCs/>
        </w:rPr>
      </w:pPr>
    </w:p>
    <w:p w:rsidR="00E7545A" w:rsidRPr="00527E0C" w:rsidRDefault="00E7545A">
      <w:pPr>
        <w:jc w:val="center"/>
        <w:rPr>
          <w:b/>
          <w:bCs/>
        </w:rPr>
      </w:pPr>
    </w:p>
    <w:p w:rsidR="001422F8" w:rsidRPr="00527E0C" w:rsidRDefault="001422F8" w:rsidP="001422F8">
      <w:pPr>
        <w:jc w:val="center"/>
        <w:rPr>
          <w:b/>
          <w:bCs/>
          <w:sz w:val="48"/>
          <w:szCs w:val="48"/>
        </w:rPr>
      </w:pPr>
    </w:p>
    <w:p w:rsidR="001422F8" w:rsidRPr="00527E0C" w:rsidRDefault="001326EA" w:rsidP="001326EA">
      <w:pPr>
        <w:tabs>
          <w:tab w:val="left" w:pos="2175"/>
        </w:tabs>
        <w:rPr>
          <w:b/>
          <w:bCs/>
          <w:sz w:val="48"/>
          <w:szCs w:val="48"/>
        </w:rPr>
      </w:pPr>
      <w:r w:rsidRPr="00527E0C">
        <w:rPr>
          <w:b/>
          <w:bCs/>
          <w:sz w:val="48"/>
          <w:szCs w:val="48"/>
        </w:rPr>
        <w:tab/>
      </w:r>
    </w:p>
    <w:p w:rsidR="001422F8" w:rsidRPr="00527E0C" w:rsidRDefault="001422F8" w:rsidP="001422F8">
      <w:pPr>
        <w:jc w:val="center"/>
        <w:rPr>
          <w:b/>
          <w:bCs/>
          <w:sz w:val="48"/>
          <w:szCs w:val="48"/>
        </w:rPr>
      </w:pPr>
    </w:p>
    <w:p w:rsidR="001422F8" w:rsidRPr="00527E0C" w:rsidRDefault="001422F8" w:rsidP="001422F8">
      <w:pPr>
        <w:jc w:val="center"/>
        <w:rPr>
          <w:b/>
          <w:bCs/>
          <w:sz w:val="48"/>
          <w:szCs w:val="48"/>
        </w:rPr>
      </w:pPr>
    </w:p>
    <w:p w:rsidR="00E7545A" w:rsidRPr="00527E0C" w:rsidRDefault="004E3E2F" w:rsidP="001422F8">
      <w:pPr>
        <w:jc w:val="center"/>
        <w:rPr>
          <w:b/>
          <w:bCs/>
          <w:sz w:val="40"/>
          <w:szCs w:val="48"/>
        </w:rPr>
      </w:pPr>
      <w:r w:rsidRPr="00527E0C">
        <w:rPr>
          <w:b/>
          <w:bCs/>
          <w:sz w:val="40"/>
          <w:szCs w:val="48"/>
        </w:rPr>
        <w:t>CONFIDENTIALITY AND DATA PROTECTION POLICY</w:t>
      </w:r>
    </w:p>
    <w:p w:rsidR="00E7545A" w:rsidRDefault="00E7545A" w:rsidP="001422F8">
      <w:pPr>
        <w:jc w:val="center"/>
        <w:rPr>
          <w:sz w:val="48"/>
          <w:szCs w:val="48"/>
        </w:rPr>
      </w:pPr>
    </w:p>
    <w:p w:rsidR="00287C0B" w:rsidRPr="00527E0C" w:rsidRDefault="00F85240" w:rsidP="001422F8">
      <w:pPr>
        <w:jc w:val="center"/>
        <w:rPr>
          <w:sz w:val="48"/>
          <w:szCs w:val="48"/>
        </w:rPr>
      </w:pPr>
      <w:r>
        <w:rPr>
          <w:sz w:val="48"/>
          <w:szCs w:val="48"/>
        </w:rPr>
        <w:t>Aire Valley Surgery</w:t>
      </w:r>
    </w:p>
    <w:p w:rsidR="005D5468" w:rsidRPr="00527E0C" w:rsidRDefault="005D5468" w:rsidP="001422F8">
      <w:pPr>
        <w:jc w:val="center"/>
        <w:rPr>
          <w:sz w:val="48"/>
          <w:szCs w:val="48"/>
        </w:rPr>
      </w:pPr>
    </w:p>
    <w:p w:rsidR="00E7545A" w:rsidRPr="00527E0C" w:rsidRDefault="00E7545A" w:rsidP="001422F8">
      <w:pPr>
        <w:jc w:val="center"/>
        <w:rPr>
          <w:sz w:val="48"/>
          <w:szCs w:val="48"/>
        </w:rPr>
      </w:pPr>
    </w:p>
    <w:p w:rsidR="007904FB" w:rsidRPr="00527E0C" w:rsidRDefault="007904FB"/>
    <w:p w:rsidR="007904FB" w:rsidRPr="00527E0C" w:rsidRDefault="007904FB"/>
    <w:p w:rsidR="007A71D0" w:rsidRPr="00527E0C" w:rsidRDefault="007A71D0">
      <w:pPr>
        <w:rPr>
          <w:b/>
          <w:sz w:val="28"/>
          <w:szCs w:val="28"/>
        </w:rPr>
      </w:pPr>
      <w:r w:rsidRPr="00527E0C">
        <w:rPr>
          <w:b/>
          <w:sz w:val="28"/>
          <w:szCs w:val="28"/>
        </w:rPr>
        <w:br w:type="page"/>
      </w:r>
    </w:p>
    <w:p w:rsidR="003C520A" w:rsidRPr="00527E0C" w:rsidRDefault="003C520A" w:rsidP="003C520A">
      <w:pPr>
        <w:rPr>
          <w:b/>
        </w:rPr>
      </w:pPr>
      <w:r w:rsidRPr="00527E0C">
        <w:rPr>
          <w:b/>
        </w:rPr>
        <w:lastRenderedPageBreak/>
        <w:t>Equality Statement</w:t>
      </w:r>
    </w:p>
    <w:p w:rsidR="003C520A" w:rsidRPr="00527E0C" w:rsidRDefault="003C520A" w:rsidP="003C520A">
      <w:pPr>
        <w:rPr>
          <w:b/>
        </w:rPr>
      </w:pPr>
    </w:p>
    <w:p w:rsidR="003C520A" w:rsidRPr="00527E0C" w:rsidRDefault="003C520A" w:rsidP="003C520A">
      <w:r w:rsidRPr="00527E0C">
        <w:t xml:space="preserve">This policy applies to all employees, Governing Body members and members of </w:t>
      </w:r>
      <w:r w:rsidR="00F85240">
        <w:t>Aire Valley Surgery</w:t>
      </w:r>
      <w:r w:rsidR="006615C9" w:rsidRPr="00527E0C">
        <w:t xml:space="preserve"> </w:t>
      </w:r>
      <w:r w:rsidRPr="00527E0C">
        <w:t>irrespective of age, race, colour, religion, disability, nationality, ethnic origin, gender, sexual orientation or marital status, domestic circumstances, social and employment status, HIV status, gender reassignment, political affiliation or trade union membership.</w:t>
      </w:r>
    </w:p>
    <w:p w:rsidR="003C520A" w:rsidRPr="00527E0C" w:rsidRDefault="003C520A" w:rsidP="003C520A"/>
    <w:p w:rsidR="003C520A" w:rsidRPr="00527E0C" w:rsidRDefault="003C520A" w:rsidP="003C520A">
      <w:r w:rsidRPr="00527E0C">
        <w:t>A full Equality Impact Assessment is not considered to be necessary as this policy will not have a detrimental impact on a particular group.</w:t>
      </w:r>
    </w:p>
    <w:p w:rsidR="003C520A" w:rsidRPr="00527E0C" w:rsidRDefault="003C520A" w:rsidP="003C520A"/>
    <w:p w:rsidR="00177FE5" w:rsidRPr="00527E0C" w:rsidRDefault="00742AB8" w:rsidP="00BC3CEF">
      <w:pPr>
        <w:rPr>
          <w:b/>
        </w:rPr>
      </w:pPr>
      <w:r w:rsidRPr="00527E0C">
        <w:rPr>
          <w:b/>
        </w:rPr>
        <w:t>Contents</w:t>
      </w:r>
    </w:p>
    <w:p w:rsidR="00DA6169" w:rsidRPr="00527E0C" w:rsidRDefault="00DA6169" w:rsidP="00BC3CEF">
      <w:pPr>
        <w:rPr>
          <w:b/>
        </w:rPr>
      </w:pPr>
    </w:p>
    <w:p w:rsidR="00985B06" w:rsidRPr="00985B06" w:rsidRDefault="008175D3">
      <w:pPr>
        <w:pStyle w:val="TOC1"/>
        <w:tabs>
          <w:tab w:val="left" w:pos="440"/>
          <w:tab w:val="right" w:pos="8949"/>
        </w:tabs>
        <w:rPr>
          <w:rFonts w:ascii="Arial" w:eastAsiaTheme="minorEastAsia" w:hAnsi="Arial"/>
          <w:noProof/>
          <w:lang w:eastAsia="en-GB"/>
        </w:rPr>
      </w:pPr>
      <w:r w:rsidRPr="00985B06">
        <w:rPr>
          <w:rFonts w:ascii="Arial" w:hAnsi="Arial"/>
        </w:rPr>
        <w:fldChar w:fldCharType="begin"/>
      </w:r>
      <w:r w:rsidRPr="00985B06">
        <w:rPr>
          <w:rFonts w:ascii="Arial" w:hAnsi="Arial"/>
        </w:rPr>
        <w:instrText xml:space="preserve"> TOC \o "1-1" \h \z \u \t "Heading 3,2" </w:instrText>
      </w:r>
      <w:r w:rsidRPr="00985B06">
        <w:rPr>
          <w:rFonts w:ascii="Arial" w:hAnsi="Arial"/>
        </w:rPr>
        <w:fldChar w:fldCharType="separate"/>
      </w:r>
      <w:hyperlink w:anchor="_Toc496602598" w:history="1">
        <w:r w:rsidR="00985B06" w:rsidRPr="00985B06">
          <w:rPr>
            <w:rStyle w:val="Hyperlink"/>
            <w:rFonts w:ascii="Arial" w:hAnsi="Arial"/>
            <w:noProof/>
          </w:rPr>
          <w:t>1.</w:t>
        </w:r>
        <w:r w:rsidR="00985B06" w:rsidRPr="00985B06">
          <w:rPr>
            <w:rFonts w:ascii="Arial" w:eastAsiaTheme="minorEastAsia" w:hAnsi="Arial"/>
            <w:noProof/>
            <w:lang w:eastAsia="en-GB"/>
          </w:rPr>
          <w:tab/>
        </w:r>
        <w:r w:rsidR="00985B06" w:rsidRPr="00985B06">
          <w:rPr>
            <w:rStyle w:val="Hyperlink"/>
            <w:rFonts w:ascii="Arial" w:hAnsi="Arial"/>
            <w:noProof/>
          </w:rPr>
          <w:t>INTRODUCTION</w:t>
        </w:r>
        <w:r w:rsidR="00985B06" w:rsidRPr="00985B06">
          <w:rPr>
            <w:rFonts w:ascii="Arial" w:hAnsi="Arial"/>
            <w:noProof/>
            <w:webHidden/>
          </w:rPr>
          <w:tab/>
        </w:r>
        <w:r w:rsidR="00985B06" w:rsidRPr="00985B06">
          <w:rPr>
            <w:rFonts w:ascii="Arial" w:hAnsi="Arial"/>
            <w:noProof/>
            <w:webHidden/>
          </w:rPr>
          <w:fldChar w:fldCharType="begin"/>
        </w:r>
        <w:r w:rsidR="00985B06" w:rsidRPr="00985B06">
          <w:rPr>
            <w:rFonts w:ascii="Arial" w:hAnsi="Arial"/>
            <w:noProof/>
            <w:webHidden/>
          </w:rPr>
          <w:instrText xml:space="preserve"> PAGEREF _Toc496602598 \h </w:instrText>
        </w:r>
        <w:r w:rsidR="00985B06" w:rsidRPr="00985B06">
          <w:rPr>
            <w:rFonts w:ascii="Arial" w:hAnsi="Arial"/>
            <w:noProof/>
            <w:webHidden/>
          </w:rPr>
        </w:r>
        <w:r w:rsidR="00985B06" w:rsidRPr="00985B06">
          <w:rPr>
            <w:rFonts w:ascii="Arial" w:hAnsi="Arial"/>
            <w:noProof/>
            <w:webHidden/>
          </w:rPr>
          <w:fldChar w:fldCharType="separate"/>
        </w:r>
        <w:r w:rsidR="00320AC2">
          <w:rPr>
            <w:rFonts w:ascii="Arial" w:hAnsi="Arial"/>
            <w:noProof/>
            <w:webHidden/>
          </w:rPr>
          <w:t>4</w:t>
        </w:r>
        <w:r w:rsidR="00985B06" w:rsidRPr="00985B06">
          <w:rPr>
            <w:rFonts w:ascii="Arial" w:hAnsi="Arial"/>
            <w:noProof/>
            <w:webHidden/>
          </w:rPr>
          <w:fldChar w:fldCharType="end"/>
        </w:r>
      </w:hyperlink>
    </w:p>
    <w:p w:rsidR="00985B06" w:rsidRPr="00985B06" w:rsidRDefault="00314845">
      <w:pPr>
        <w:pStyle w:val="TOC1"/>
        <w:tabs>
          <w:tab w:val="left" w:pos="440"/>
          <w:tab w:val="right" w:pos="8949"/>
        </w:tabs>
        <w:rPr>
          <w:rFonts w:ascii="Arial" w:eastAsiaTheme="minorEastAsia" w:hAnsi="Arial"/>
          <w:noProof/>
          <w:lang w:eastAsia="en-GB"/>
        </w:rPr>
      </w:pPr>
      <w:hyperlink w:anchor="_Toc496602599" w:history="1">
        <w:r w:rsidR="00985B06" w:rsidRPr="00985B06">
          <w:rPr>
            <w:rStyle w:val="Hyperlink"/>
            <w:rFonts w:ascii="Arial" w:hAnsi="Arial"/>
            <w:noProof/>
          </w:rPr>
          <w:t>2.</w:t>
        </w:r>
        <w:r w:rsidR="00985B06" w:rsidRPr="00985B06">
          <w:rPr>
            <w:rFonts w:ascii="Arial" w:eastAsiaTheme="minorEastAsia" w:hAnsi="Arial"/>
            <w:noProof/>
            <w:lang w:eastAsia="en-GB"/>
          </w:rPr>
          <w:tab/>
        </w:r>
        <w:r w:rsidR="00985B06" w:rsidRPr="00985B06">
          <w:rPr>
            <w:rStyle w:val="Hyperlink"/>
            <w:rFonts w:ascii="Arial" w:hAnsi="Arial"/>
            <w:noProof/>
          </w:rPr>
          <w:t>AIMS</w:t>
        </w:r>
        <w:r w:rsidR="00985B06" w:rsidRPr="00985B06">
          <w:rPr>
            <w:rFonts w:ascii="Arial" w:hAnsi="Arial"/>
            <w:noProof/>
            <w:webHidden/>
          </w:rPr>
          <w:tab/>
        </w:r>
        <w:r w:rsidR="00985B06" w:rsidRPr="00985B06">
          <w:rPr>
            <w:rFonts w:ascii="Arial" w:hAnsi="Arial"/>
            <w:noProof/>
            <w:webHidden/>
          </w:rPr>
          <w:fldChar w:fldCharType="begin"/>
        </w:r>
        <w:r w:rsidR="00985B06" w:rsidRPr="00985B06">
          <w:rPr>
            <w:rFonts w:ascii="Arial" w:hAnsi="Arial"/>
            <w:noProof/>
            <w:webHidden/>
          </w:rPr>
          <w:instrText xml:space="preserve"> PAGEREF _Toc496602599 \h </w:instrText>
        </w:r>
        <w:r w:rsidR="00985B06" w:rsidRPr="00985B06">
          <w:rPr>
            <w:rFonts w:ascii="Arial" w:hAnsi="Arial"/>
            <w:noProof/>
            <w:webHidden/>
          </w:rPr>
        </w:r>
        <w:r w:rsidR="00985B06" w:rsidRPr="00985B06">
          <w:rPr>
            <w:rFonts w:ascii="Arial" w:hAnsi="Arial"/>
            <w:noProof/>
            <w:webHidden/>
          </w:rPr>
          <w:fldChar w:fldCharType="separate"/>
        </w:r>
        <w:r w:rsidR="00320AC2">
          <w:rPr>
            <w:rFonts w:ascii="Arial" w:hAnsi="Arial"/>
            <w:noProof/>
            <w:webHidden/>
          </w:rPr>
          <w:t>4</w:t>
        </w:r>
        <w:r w:rsidR="00985B06" w:rsidRPr="00985B06">
          <w:rPr>
            <w:rFonts w:ascii="Arial" w:hAnsi="Arial"/>
            <w:noProof/>
            <w:webHidden/>
          </w:rPr>
          <w:fldChar w:fldCharType="end"/>
        </w:r>
      </w:hyperlink>
    </w:p>
    <w:p w:rsidR="00985B06" w:rsidRPr="00985B06" w:rsidRDefault="00314845">
      <w:pPr>
        <w:pStyle w:val="TOC1"/>
        <w:tabs>
          <w:tab w:val="left" w:pos="440"/>
          <w:tab w:val="right" w:pos="8949"/>
        </w:tabs>
        <w:rPr>
          <w:rFonts w:ascii="Arial" w:eastAsiaTheme="minorEastAsia" w:hAnsi="Arial"/>
          <w:noProof/>
          <w:lang w:eastAsia="en-GB"/>
        </w:rPr>
      </w:pPr>
      <w:hyperlink w:anchor="_Toc496602600" w:history="1">
        <w:r w:rsidR="00985B06" w:rsidRPr="00985B06">
          <w:rPr>
            <w:rStyle w:val="Hyperlink"/>
            <w:rFonts w:ascii="Arial" w:hAnsi="Arial"/>
            <w:noProof/>
          </w:rPr>
          <w:t>3.</w:t>
        </w:r>
        <w:r w:rsidR="00985B06" w:rsidRPr="00985B06">
          <w:rPr>
            <w:rFonts w:ascii="Arial" w:eastAsiaTheme="minorEastAsia" w:hAnsi="Arial"/>
            <w:noProof/>
            <w:lang w:eastAsia="en-GB"/>
          </w:rPr>
          <w:tab/>
        </w:r>
        <w:r w:rsidR="00985B06" w:rsidRPr="00985B06">
          <w:rPr>
            <w:rStyle w:val="Hyperlink"/>
            <w:rFonts w:ascii="Arial" w:hAnsi="Arial"/>
            <w:noProof/>
          </w:rPr>
          <w:t>SCOPE</w:t>
        </w:r>
        <w:r w:rsidR="00985B06" w:rsidRPr="00985B06">
          <w:rPr>
            <w:rFonts w:ascii="Arial" w:hAnsi="Arial"/>
            <w:noProof/>
            <w:webHidden/>
          </w:rPr>
          <w:tab/>
        </w:r>
        <w:r w:rsidR="00985B06" w:rsidRPr="00985B06">
          <w:rPr>
            <w:rFonts w:ascii="Arial" w:hAnsi="Arial"/>
            <w:noProof/>
            <w:webHidden/>
          </w:rPr>
          <w:fldChar w:fldCharType="begin"/>
        </w:r>
        <w:r w:rsidR="00985B06" w:rsidRPr="00985B06">
          <w:rPr>
            <w:rFonts w:ascii="Arial" w:hAnsi="Arial"/>
            <w:noProof/>
            <w:webHidden/>
          </w:rPr>
          <w:instrText xml:space="preserve"> PAGEREF _Toc496602600 \h </w:instrText>
        </w:r>
        <w:r w:rsidR="00985B06" w:rsidRPr="00985B06">
          <w:rPr>
            <w:rFonts w:ascii="Arial" w:hAnsi="Arial"/>
            <w:noProof/>
            <w:webHidden/>
          </w:rPr>
        </w:r>
        <w:r w:rsidR="00985B06" w:rsidRPr="00985B06">
          <w:rPr>
            <w:rFonts w:ascii="Arial" w:hAnsi="Arial"/>
            <w:noProof/>
            <w:webHidden/>
          </w:rPr>
          <w:fldChar w:fldCharType="separate"/>
        </w:r>
        <w:r w:rsidR="00320AC2">
          <w:rPr>
            <w:rFonts w:ascii="Arial" w:hAnsi="Arial"/>
            <w:noProof/>
            <w:webHidden/>
          </w:rPr>
          <w:t>4</w:t>
        </w:r>
        <w:r w:rsidR="00985B06" w:rsidRPr="00985B06">
          <w:rPr>
            <w:rFonts w:ascii="Arial" w:hAnsi="Arial"/>
            <w:noProof/>
            <w:webHidden/>
          </w:rPr>
          <w:fldChar w:fldCharType="end"/>
        </w:r>
      </w:hyperlink>
    </w:p>
    <w:p w:rsidR="00985B06" w:rsidRPr="00985B06" w:rsidRDefault="00314845">
      <w:pPr>
        <w:pStyle w:val="TOC1"/>
        <w:tabs>
          <w:tab w:val="left" w:pos="440"/>
          <w:tab w:val="right" w:pos="8949"/>
        </w:tabs>
        <w:rPr>
          <w:rFonts w:ascii="Arial" w:eastAsiaTheme="minorEastAsia" w:hAnsi="Arial"/>
          <w:noProof/>
          <w:lang w:eastAsia="en-GB"/>
        </w:rPr>
      </w:pPr>
      <w:hyperlink w:anchor="_Toc496602601" w:history="1">
        <w:r w:rsidR="00985B06" w:rsidRPr="00985B06">
          <w:rPr>
            <w:rStyle w:val="Hyperlink"/>
            <w:rFonts w:ascii="Arial" w:hAnsi="Arial"/>
            <w:noProof/>
          </w:rPr>
          <w:t>4.</w:t>
        </w:r>
        <w:r w:rsidR="00985B06" w:rsidRPr="00985B06">
          <w:rPr>
            <w:rFonts w:ascii="Arial" w:eastAsiaTheme="minorEastAsia" w:hAnsi="Arial"/>
            <w:noProof/>
            <w:lang w:eastAsia="en-GB"/>
          </w:rPr>
          <w:tab/>
        </w:r>
        <w:r w:rsidR="00985B06" w:rsidRPr="00985B06">
          <w:rPr>
            <w:rStyle w:val="Hyperlink"/>
            <w:rFonts w:ascii="Arial" w:hAnsi="Arial"/>
            <w:noProof/>
          </w:rPr>
          <w:t>ACCOUNTABILITY AND RESPONSIBILITIES</w:t>
        </w:r>
        <w:r w:rsidR="00985B06" w:rsidRPr="00985B06">
          <w:rPr>
            <w:rFonts w:ascii="Arial" w:hAnsi="Arial"/>
            <w:noProof/>
            <w:webHidden/>
          </w:rPr>
          <w:tab/>
        </w:r>
        <w:r w:rsidR="00985B06" w:rsidRPr="00985B06">
          <w:rPr>
            <w:rFonts w:ascii="Arial" w:hAnsi="Arial"/>
            <w:noProof/>
            <w:webHidden/>
          </w:rPr>
          <w:fldChar w:fldCharType="begin"/>
        </w:r>
        <w:r w:rsidR="00985B06" w:rsidRPr="00985B06">
          <w:rPr>
            <w:rFonts w:ascii="Arial" w:hAnsi="Arial"/>
            <w:noProof/>
            <w:webHidden/>
          </w:rPr>
          <w:instrText xml:space="preserve"> PAGEREF _Toc496602601 \h </w:instrText>
        </w:r>
        <w:r w:rsidR="00985B06" w:rsidRPr="00985B06">
          <w:rPr>
            <w:rFonts w:ascii="Arial" w:hAnsi="Arial"/>
            <w:noProof/>
            <w:webHidden/>
          </w:rPr>
        </w:r>
        <w:r w:rsidR="00985B06" w:rsidRPr="00985B06">
          <w:rPr>
            <w:rFonts w:ascii="Arial" w:hAnsi="Arial"/>
            <w:noProof/>
            <w:webHidden/>
          </w:rPr>
          <w:fldChar w:fldCharType="separate"/>
        </w:r>
        <w:r w:rsidR="00320AC2">
          <w:rPr>
            <w:rFonts w:ascii="Arial" w:hAnsi="Arial"/>
            <w:noProof/>
            <w:webHidden/>
          </w:rPr>
          <w:t>5</w:t>
        </w:r>
        <w:r w:rsidR="00985B06" w:rsidRPr="00985B06">
          <w:rPr>
            <w:rFonts w:ascii="Arial" w:hAnsi="Arial"/>
            <w:noProof/>
            <w:webHidden/>
          </w:rPr>
          <w:fldChar w:fldCharType="end"/>
        </w:r>
      </w:hyperlink>
    </w:p>
    <w:p w:rsidR="00985B06" w:rsidRPr="00985B06" w:rsidRDefault="00314845">
      <w:pPr>
        <w:pStyle w:val="TOC1"/>
        <w:tabs>
          <w:tab w:val="left" w:pos="440"/>
          <w:tab w:val="right" w:pos="8949"/>
        </w:tabs>
        <w:rPr>
          <w:rFonts w:ascii="Arial" w:eastAsiaTheme="minorEastAsia" w:hAnsi="Arial"/>
          <w:noProof/>
          <w:lang w:eastAsia="en-GB"/>
        </w:rPr>
      </w:pPr>
      <w:hyperlink w:anchor="_Toc496602602" w:history="1">
        <w:r w:rsidR="00985B06" w:rsidRPr="00985B06">
          <w:rPr>
            <w:rStyle w:val="Hyperlink"/>
            <w:rFonts w:ascii="Arial" w:hAnsi="Arial"/>
            <w:noProof/>
          </w:rPr>
          <w:t>5.</w:t>
        </w:r>
        <w:r w:rsidR="00985B06" w:rsidRPr="00985B06">
          <w:rPr>
            <w:rFonts w:ascii="Arial" w:eastAsiaTheme="minorEastAsia" w:hAnsi="Arial"/>
            <w:noProof/>
            <w:lang w:eastAsia="en-GB"/>
          </w:rPr>
          <w:tab/>
        </w:r>
        <w:r w:rsidR="00985B06" w:rsidRPr="00985B06">
          <w:rPr>
            <w:rStyle w:val="Hyperlink"/>
            <w:rFonts w:ascii="Arial" w:hAnsi="Arial"/>
            <w:noProof/>
          </w:rPr>
          <w:t>DEFINITION OF TERMS</w:t>
        </w:r>
        <w:r w:rsidR="00985B06" w:rsidRPr="00985B06">
          <w:rPr>
            <w:rFonts w:ascii="Arial" w:hAnsi="Arial"/>
            <w:noProof/>
            <w:webHidden/>
          </w:rPr>
          <w:tab/>
        </w:r>
        <w:r w:rsidR="00985B06" w:rsidRPr="00985B06">
          <w:rPr>
            <w:rFonts w:ascii="Arial" w:hAnsi="Arial"/>
            <w:noProof/>
            <w:webHidden/>
          </w:rPr>
          <w:fldChar w:fldCharType="begin"/>
        </w:r>
        <w:r w:rsidR="00985B06" w:rsidRPr="00985B06">
          <w:rPr>
            <w:rFonts w:ascii="Arial" w:hAnsi="Arial"/>
            <w:noProof/>
            <w:webHidden/>
          </w:rPr>
          <w:instrText xml:space="preserve"> PAGEREF _Toc496602602 \h </w:instrText>
        </w:r>
        <w:r w:rsidR="00985B06" w:rsidRPr="00985B06">
          <w:rPr>
            <w:rFonts w:ascii="Arial" w:hAnsi="Arial"/>
            <w:noProof/>
            <w:webHidden/>
          </w:rPr>
        </w:r>
        <w:r w:rsidR="00985B06" w:rsidRPr="00985B06">
          <w:rPr>
            <w:rFonts w:ascii="Arial" w:hAnsi="Arial"/>
            <w:noProof/>
            <w:webHidden/>
          </w:rPr>
          <w:fldChar w:fldCharType="separate"/>
        </w:r>
        <w:r w:rsidR="00320AC2">
          <w:rPr>
            <w:rFonts w:ascii="Arial" w:hAnsi="Arial"/>
            <w:noProof/>
            <w:webHidden/>
          </w:rPr>
          <w:t>6</w:t>
        </w:r>
        <w:r w:rsidR="00985B06" w:rsidRPr="00985B06">
          <w:rPr>
            <w:rFonts w:ascii="Arial" w:hAnsi="Arial"/>
            <w:noProof/>
            <w:webHidden/>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03" w:history="1">
        <w:r w:rsidR="00985B06" w:rsidRPr="00985B06">
          <w:rPr>
            <w:rStyle w:val="Hyperlink"/>
            <w:rFonts w:ascii="Arial" w:hAnsi="Arial" w:cs="Arial"/>
            <w:noProof/>
            <w:sz w:val="24"/>
            <w:szCs w:val="24"/>
          </w:rPr>
          <w:t>5.1 Personal data</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_Toc496602603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6</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04" w:history="1">
        <w:r w:rsidR="00985B06" w:rsidRPr="00985B06">
          <w:rPr>
            <w:rStyle w:val="Hyperlink"/>
            <w:rFonts w:ascii="Arial" w:hAnsi="Arial" w:cs="Arial"/>
            <w:noProof/>
            <w:sz w:val="24"/>
            <w:szCs w:val="24"/>
          </w:rPr>
          <w:t>5.2 Special categories of personal data</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_Toc496602604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6</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05" w:history="1">
        <w:r w:rsidR="00985B06" w:rsidRPr="00985B06">
          <w:rPr>
            <w:rStyle w:val="Hyperlink"/>
            <w:rFonts w:ascii="Arial" w:hAnsi="Arial" w:cs="Arial"/>
            <w:noProof/>
            <w:sz w:val="24"/>
            <w:szCs w:val="24"/>
          </w:rPr>
          <w:t>5.3 Direct Patient Care</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_Toc496602605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6</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06" w:history="1">
        <w:r w:rsidR="00985B06" w:rsidRPr="00985B06">
          <w:rPr>
            <w:rStyle w:val="Hyperlink"/>
            <w:rFonts w:ascii="Arial" w:hAnsi="Arial" w:cs="Arial"/>
            <w:noProof/>
            <w:sz w:val="24"/>
            <w:szCs w:val="24"/>
          </w:rPr>
          <w:t>5.4 Legal basis for processing identifiable data</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_Toc496602606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7</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07" w:history="1">
        <w:r w:rsidR="00985B06" w:rsidRPr="00985B06">
          <w:rPr>
            <w:rStyle w:val="Hyperlink"/>
            <w:rFonts w:ascii="Arial" w:hAnsi="Arial" w:cs="Arial"/>
            <w:noProof/>
            <w:sz w:val="24"/>
            <w:szCs w:val="24"/>
          </w:rPr>
          <w:t>5.5 Objections and Opt Out</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_Toc496602607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7</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08" w:history="1">
        <w:r w:rsidR="00985B06" w:rsidRPr="00985B06">
          <w:rPr>
            <w:rStyle w:val="Hyperlink"/>
            <w:rFonts w:ascii="Arial" w:hAnsi="Arial" w:cs="Arial"/>
            <w:noProof/>
            <w:sz w:val="24"/>
            <w:szCs w:val="24"/>
          </w:rPr>
          <w:t>5.6 Corporate Information</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_Toc496602608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7</w:t>
        </w:r>
        <w:r w:rsidR="00985B06" w:rsidRPr="00985B06">
          <w:rPr>
            <w:rFonts w:ascii="Arial" w:hAnsi="Arial" w:cs="Arial"/>
            <w:noProof/>
            <w:webHidden/>
            <w:sz w:val="24"/>
            <w:szCs w:val="24"/>
          </w:rPr>
          <w:fldChar w:fldCharType="end"/>
        </w:r>
      </w:hyperlink>
    </w:p>
    <w:p w:rsidR="00985B06" w:rsidRPr="00985B06" w:rsidRDefault="00314845">
      <w:pPr>
        <w:pStyle w:val="TOC1"/>
        <w:tabs>
          <w:tab w:val="left" w:pos="440"/>
          <w:tab w:val="right" w:pos="8949"/>
        </w:tabs>
        <w:rPr>
          <w:rFonts w:ascii="Arial" w:eastAsiaTheme="minorEastAsia" w:hAnsi="Arial"/>
          <w:noProof/>
          <w:lang w:eastAsia="en-GB"/>
        </w:rPr>
      </w:pPr>
      <w:hyperlink w:anchor="_Toc496602609" w:history="1">
        <w:r w:rsidR="00985B06" w:rsidRPr="00985B06">
          <w:rPr>
            <w:rStyle w:val="Hyperlink"/>
            <w:rFonts w:ascii="Arial" w:hAnsi="Arial"/>
            <w:noProof/>
          </w:rPr>
          <w:t>6.</w:t>
        </w:r>
        <w:r w:rsidR="00985B06" w:rsidRPr="00985B06">
          <w:rPr>
            <w:rFonts w:ascii="Arial" w:eastAsiaTheme="minorEastAsia" w:hAnsi="Arial"/>
            <w:noProof/>
            <w:lang w:eastAsia="en-GB"/>
          </w:rPr>
          <w:tab/>
        </w:r>
        <w:r w:rsidR="00985B06" w:rsidRPr="00985B06">
          <w:rPr>
            <w:rStyle w:val="Hyperlink"/>
            <w:rFonts w:ascii="Arial" w:hAnsi="Arial"/>
            <w:noProof/>
          </w:rPr>
          <w:t>ENSURING INFORMATION IS SECURE AND CONFIDENTIAL</w:t>
        </w:r>
        <w:r w:rsidR="00985B06" w:rsidRPr="00985B06">
          <w:rPr>
            <w:rFonts w:ascii="Arial" w:hAnsi="Arial"/>
            <w:noProof/>
            <w:webHidden/>
          </w:rPr>
          <w:tab/>
        </w:r>
        <w:r w:rsidR="00985B06" w:rsidRPr="00985B06">
          <w:rPr>
            <w:rFonts w:ascii="Arial" w:hAnsi="Arial"/>
            <w:noProof/>
            <w:webHidden/>
          </w:rPr>
          <w:fldChar w:fldCharType="begin"/>
        </w:r>
        <w:r w:rsidR="00985B06" w:rsidRPr="00985B06">
          <w:rPr>
            <w:rFonts w:ascii="Arial" w:hAnsi="Arial"/>
            <w:noProof/>
            <w:webHidden/>
          </w:rPr>
          <w:instrText xml:space="preserve"> PAGEREF _Toc496602609 \h </w:instrText>
        </w:r>
        <w:r w:rsidR="00985B06" w:rsidRPr="00985B06">
          <w:rPr>
            <w:rFonts w:ascii="Arial" w:hAnsi="Arial"/>
            <w:noProof/>
            <w:webHidden/>
          </w:rPr>
        </w:r>
        <w:r w:rsidR="00985B06" w:rsidRPr="00985B06">
          <w:rPr>
            <w:rFonts w:ascii="Arial" w:hAnsi="Arial"/>
            <w:noProof/>
            <w:webHidden/>
          </w:rPr>
          <w:fldChar w:fldCharType="separate"/>
        </w:r>
        <w:r w:rsidR="00320AC2">
          <w:rPr>
            <w:rFonts w:ascii="Arial" w:hAnsi="Arial"/>
            <w:noProof/>
            <w:webHidden/>
          </w:rPr>
          <w:t>8</w:t>
        </w:r>
        <w:r w:rsidR="00985B06" w:rsidRPr="00985B06">
          <w:rPr>
            <w:rFonts w:ascii="Arial" w:hAnsi="Arial"/>
            <w:noProof/>
            <w:webHidden/>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10" w:history="1">
        <w:r w:rsidR="00985B06" w:rsidRPr="00985B06">
          <w:rPr>
            <w:rStyle w:val="Hyperlink"/>
            <w:rFonts w:ascii="Arial" w:hAnsi="Arial" w:cs="Arial"/>
            <w:noProof/>
            <w:sz w:val="24"/>
            <w:szCs w:val="24"/>
          </w:rPr>
          <w:t>6.1 General Principles</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_Toc496602610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8</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11" w:history="1">
        <w:r w:rsidR="00985B06" w:rsidRPr="00985B06">
          <w:rPr>
            <w:rStyle w:val="Hyperlink"/>
            <w:rFonts w:ascii="Arial" w:hAnsi="Arial" w:cs="Arial"/>
            <w:noProof/>
            <w:sz w:val="24"/>
            <w:szCs w:val="24"/>
          </w:rPr>
          <w:t>6.2 Using and Disclosing Confidential Patient Information for Direct Healthcare</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_Toc496602611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8</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12" w:history="1">
        <w:r w:rsidR="00985B06" w:rsidRPr="00985B06">
          <w:rPr>
            <w:rStyle w:val="Hyperlink"/>
            <w:rFonts w:ascii="Arial" w:hAnsi="Arial" w:cs="Arial"/>
            <w:noProof/>
            <w:sz w:val="24"/>
            <w:szCs w:val="24"/>
          </w:rPr>
          <w:t>6.3 Using and Disclosing Confidential Staff Information</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_Toc496602612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9</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13" w:history="1">
        <w:r w:rsidR="00985B06" w:rsidRPr="00985B06">
          <w:rPr>
            <w:rStyle w:val="Hyperlink"/>
            <w:rFonts w:ascii="Arial" w:hAnsi="Arial" w:cs="Arial"/>
            <w:noProof/>
            <w:sz w:val="24"/>
            <w:szCs w:val="24"/>
          </w:rPr>
          <w:t>6.4 Using and Disclosing Corporate and Business Information</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_Toc496602613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9</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14" w:history="1">
        <w:r w:rsidR="00985B06" w:rsidRPr="00985B06">
          <w:rPr>
            <w:rStyle w:val="Hyperlink"/>
            <w:rFonts w:ascii="Arial" w:hAnsi="Arial" w:cs="Arial"/>
            <w:noProof/>
            <w:sz w:val="24"/>
            <w:szCs w:val="24"/>
          </w:rPr>
          <w:t>6.5 Information Security</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_Toc496602614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9</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15" w:history="1">
        <w:r w:rsidR="00985B06" w:rsidRPr="00985B06">
          <w:rPr>
            <w:rStyle w:val="Hyperlink"/>
            <w:rFonts w:ascii="Arial" w:hAnsi="Arial" w:cs="Arial"/>
            <w:noProof/>
            <w:sz w:val="24"/>
            <w:szCs w:val="24"/>
          </w:rPr>
          <w:t>6.6 Sharing Confidential Information Without Consent</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_Toc496602615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9</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16" w:history="1">
        <w:r w:rsidR="00985B06" w:rsidRPr="00985B06">
          <w:rPr>
            <w:rStyle w:val="Hyperlink"/>
            <w:rFonts w:ascii="Arial" w:hAnsi="Arial" w:cs="Arial"/>
            <w:noProof/>
            <w:sz w:val="24"/>
            <w:szCs w:val="24"/>
          </w:rPr>
          <w:t>6.7 Confidentiality and Conversations</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_Toc496602616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10</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17" w:history="1">
        <w:r w:rsidR="00985B06" w:rsidRPr="00985B06">
          <w:rPr>
            <w:rStyle w:val="Hyperlink"/>
            <w:rFonts w:ascii="Arial" w:hAnsi="Arial" w:cs="Arial"/>
            <w:noProof/>
            <w:sz w:val="24"/>
            <w:szCs w:val="24"/>
          </w:rPr>
          <w:t>6.8 Records Management</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_Toc496602617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10</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18" w:history="1">
        <w:r w:rsidR="00985B06" w:rsidRPr="00985B06">
          <w:rPr>
            <w:rStyle w:val="Hyperlink"/>
            <w:rFonts w:ascii="Arial" w:hAnsi="Arial" w:cs="Arial"/>
            <w:noProof/>
            <w:sz w:val="24"/>
            <w:szCs w:val="24"/>
          </w:rPr>
          <w:t>6.9 Access to Records</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_Toc496602618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10</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19" w:history="1">
        <w:r w:rsidR="00985B06" w:rsidRPr="00985B06">
          <w:rPr>
            <w:rStyle w:val="Hyperlink"/>
            <w:rFonts w:ascii="Arial" w:hAnsi="Arial" w:cs="Arial"/>
            <w:noProof/>
            <w:sz w:val="24"/>
            <w:szCs w:val="24"/>
          </w:rPr>
          <w:t>6.10 Information Sharing</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_Toc496602619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11</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20" w:history="1">
        <w:r w:rsidR="00985B06" w:rsidRPr="00985B06">
          <w:rPr>
            <w:rStyle w:val="Hyperlink"/>
            <w:rFonts w:ascii="Arial" w:hAnsi="Arial" w:cs="Arial"/>
            <w:noProof/>
            <w:sz w:val="24"/>
            <w:szCs w:val="24"/>
          </w:rPr>
          <w:t>6.11 Information Confidentiality Breaches</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_Toc496602620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11</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21" w:history="1">
        <w:r w:rsidR="00985B06" w:rsidRPr="00985B06">
          <w:rPr>
            <w:rStyle w:val="Hyperlink"/>
            <w:rFonts w:ascii="Arial" w:hAnsi="Arial" w:cs="Arial"/>
            <w:noProof/>
            <w:sz w:val="24"/>
            <w:szCs w:val="24"/>
          </w:rPr>
          <w:t>6.12 Privacy Impact Assessment/Data Protection Impact Assessment</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_Toc496602621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12</w:t>
        </w:r>
        <w:r w:rsidR="00985B06" w:rsidRPr="00985B06">
          <w:rPr>
            <w:rFonts w:ascii="Arial" w:hAnsi="Arial" w:cs="Arial"/>
            <w:noProof/>
            <w:webHidden/>
            <w:sz w:val="24"/>
            <w:szCs w:val="24"/>
          </w:rPr>
          <w:fldChar w:fldCharType="end"/>
        </w:r>
      </w:hyperlink>
    </w:p>
    <w:p w:rsidR="00985B06" w:rsidRPr="00985B06" w:rsidRDefault="00314845">
      <w:pPr>
        <w:pStyle w:val="TOC1"/>
        <w:tabs>
          <w:tab w:val="left" w:pos="440"/>
          <w:tab w:val="right" w:pos="8949"/>
        </w:tabs>
        <w:rPr>
          <w:rFonts w:ascii="Arial" w:eastAsiaTheme="minorEastAsia" w:hAnsi="Arial"/>
          <w:noProof/>
          <w:lang w:eastAsia="en-GB"/>
        </w:rPr>
      </w:pPr>
      <w:hyperlink w:anchor="_Toc496602622" w:history="1">
        <w:r w:rsidR="00985B06" w:rsidRPr="00985B06">
          <w:rPr>
            <w:rStyle w:val="Hyperlink"/>
            <w:rFonts w:ascii="Arial" w:hAnsi="Arial"/>
            <w:noProof/>
          </w:rPr>
          <w:t>7.</w:t>
        </w:r>
        <w:r w:rsidR="00985B06" w:rsidRPr="00985B06">
          <w:rPr>
            <w:rFonts w:ascii="Arial" w:eastAsiaTheme="minorEastAsia" w:hAnsi="Arial"/>
            <w:noProof/>
            <w:lang w:eastAsia="en-GB"/>
          </w:rPr>
          <w:tab/>
        </w:r>
        <w:r w:rsidR="00985B06" w:rsidRPr="00985B06">
          <w:rPr>
            <w:rStyle w:val="Hyperlink"/>
            <w:rFonts w:ascii="Arial" w:hAnsi="Arial"/>
            <w:noProof/>
          </w:rPr>
          <w:t>CONFIDENTIALITY GUIDANCE AND LEGISLATION</w:t>
        </w:r>
        <w:r w:rsidR="00985B06" w:rsidRPr="00985B06">
          <w:rPr>
            <w:rFonts w:ascii="Arial" w:hAnsi="Arial"/>
            <w:noProof/>
            <w:webHidden/>
          </w:rPr>
          <w:tab/>
        </w:r>
        <w:r w:rsidR="00985B06" w:rsidRPr="00985B06">
          <w:rPr>
            <w:rFonts w:ascii="Arial" w:hAnsi="Arial"/>
            <w:noProof/>
            <w:webHidden/>
          </w:rPr>
          <w:fldChar w:fldCharType="begin"/>
        </w:r>
        <w:r w:rsidR="00985B06" w:rsidRPr="00985B06">
          <w:rPr>
            <w:rFonts w:ascii="Arial" w:hAnsi="Arial"/>
            <w:noProof/>
            <w:webHidden/>
          </w:rPr>
          <w:instrText xml:space="preserve"> PAGEREF _Toc496602622 \h </w:instrText>
        </w:r>
        <w:r w:rsidR="00985B06" w:rsidRPr="00985B06">
          <w:rPr>
            <w:rFonts w:ascii="Arial" w:hAnsi="Arial"/>
            <w:noProof/>
            <w:webHidden/>
          </w:rPr>
        </w:r>
        <w:r w:rsidR="00985B06" w:rsidRPr="00985B06">
          <w:rPr>
            <w:rFonts w:ascii="Arial" w:hAnsi="Arial"/>
            <w:noProof/>
            <w:webHidden/>
          </w:rPr>
          <w:fldChar w:fldCharType="separate"/>
        </w:r>
        <w:r w:rsidR="00320AC2">
          <w:rPr>
            <w:rFonts w:ascii="Arial" w:hAnsi="Arial"/>
            <w:noProof/>
            <w:webHidden/>
          </w:rPr>
          <w:t>12</w:t>
        </w:r>
        <w:r w:rsidR="00985B06" w:rsidRPr="00985B06">
          <w:rPr>
            <w:rFonts w:ascii="Arial" w:hAnsi="Arial"/>
            <w:noProof/>
            <w:webHidden/>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23" w:history="1">
        <w:r w:rsidR="00985B06" w:rsidRPr="00985B06">
          <w:rPr>
            <w:rStyle w:val="Hyperlink"/>
            <w:rFonts w:ascii="Arial" w:hAnsi="Arial" w:cs="Arial"/>
            <w:noProof/>
            <w:sz w:val="24"/>
            <w:szCs w:val="24"/>
          </w:rPr>
          <w:t>7.1 General Data Protection Regulations (Regulation (EU) 2016/679)</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_Toc496602623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12</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24" w:history="1">
        <w:r w:rsidR="00985B06" w:rsidRPr="00985B06">
          <w:rPr>
            <w:rStyle w:val="Hyperlink"/>
            <w:rFonts w:ascii="Arial" w:hAnsi="Arial" w:cs="Arial"/>
            <w:noProof/>
            <w:sz w:val="24"/>
            <w:szCs w:val="24"/>
          </w:rPr>
          <w:t>7.2 Human Rights Act 1998</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_Toc496602624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14</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25" w:history="1">
        <w:r w:rsidR="00985B06" w:rsidRPr="00985B06">
          <w:rPr>
            <w:rStyle w:val="Hyperlink"/>
            <w:rFonts w:ascii="Arial" w:hAnsi="Arial" w:cs="Arial"/>
            <w:noProof/>
            <w:sz w:val="24"/>
            <w:szCs w:val="24"/>
          </w:rPr>
          <w:t>7.3 Common Law Duty of Confidentiality</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_Toc496602625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14</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26" w:history="1">
        <w:r w:rsidR="00985B06" w:rsidRPr="00985B06">
          <w:rPr>
            <w:rStyle w:val="Hyperlink"/>
            <w:rFonts w:ascii="Arial" w:hAnsi="Arial" w:cs="Arial"/>
            <w:noProof/>
            <w:sz w:val="24"/>
            <w:szCs w:val="24"/>
          </w:rPr>
          <w:t>7.4 Caldicott Principles</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_Toc496602626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14</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27" w:history="1">
        <w:r w:rsidR="00985B06" w:rsidRPr="00985B06">
          <w:rPr>
            <w:rStyle w:val="Hyperlink"/>
            <w:rFonts w:ascii="Arial" w:hAnsi="Arial" w:cs="Arial"/>
            <w:noProof/>
            <w:sz w:val="24"/>
            <w:szCs w:val="24"/>
          </w:rPr>
          <w:t>7.5 Information Commissioner’s Office Codes of Practice</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_Toc496602627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15</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28" w:history="1">
        <w:r w:rsidR="00985B06" w:rsidRPr="00985B06">
          <w:rPr>
            <w:rStyle w:val="Hyperlink"/>
            <w:rFonts w:ascii="Arial" w:hAnsi="Arial" w:cs="Arial"/>
            <w:noProof/>
            <w:sz w:val="24"/>
            <w:szCs w:val="24"/>
          </w:rPr>
          <w:t>7.6 NHS Digital (formerly Health and Social Care Information Centre) Guidance</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_Toc496602628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16</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29" w:history="1">
        <w:r w:rsidR="00985B06" w:rsidRPr="00985B06">
          <w:rPr>
            <w:rStyle w:val="Hyperlink"/>
            <w:rFonts w:ascii="Arial" w:hAnsi="Arial" w:cs="Arial"/>
            <w:noProof/>
            <w:sz w:val="24"/>
            <w:szCs w:val="24"/>
          </w:rPr>
          <w:t>7.7 Information Governance Alliance (IGA)</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_Toc496602629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16</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30" w:history="1">
        <w:r w:rsidR="00985B06" w:rsidRPr="00985B06">
          <w:rPr>
            <w:rStyle w:val="Hyperlink"/>
            <w:rFonts w:ascii="Arial" w:hAnsi="Arial" w:cs="Arial"/>
            <w:noProof/>
            <w:sz w:val="24"/>
            <w:szCs w:val="24"/>
          </w:rPr>
          <w:t>7.8 The NHS and Social Care Record Guarantees for England</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_Toc496602630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17</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31" w:history="1">
        <w:r w:rsidR="00985B06" w:rsidRPr="00985B06">
          <w:rPr>
            <w:rStyle w:val="Hyperlink"/>
            <w:rFonts w:ascii="Arial" w:hAnsi="Arial" w:cs="Arial"/>
            <w:noProof/>
            <w:sz w:val="24"/>
            <w:szCs w:val="24"/>
          </w:rPr>
          <w:t>7.9 NHS Act 2006</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_Toc496602631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17</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32" w:history="1">
        <w:r w:rsidR="00985B06" w:rsidRPr="00985B06">
          <w:rPr>
            <w:rStyle w:val="Hyperlink"/>
            <w:rFonts w:ascii="Arial" w:hAnsi="Arial" w:cs="Arial"/>
            <w:noProof/>
            <w:sz w:val="24"/>
            <w:szCs w:val="24"/>
          </w:rPr>
          <w:t>7.10 Health and Social Care Act 2012</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_Toc496602632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17</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33" w:history="1">
        <w:r w:rsidR="00985B06" w:rsidRPr="00985B06">
          <w:rPr>
            <w:rStyle w:val="Hyperlink"/>
            <w:rFonts w:ascii="Arial" w:hAnsi="Arial" w:cs="Arial"/>
            <w:noProof/>
            <w:sz w:val="24"/>
            <w:szCs w:val="24"/>
          </w:rPr>
          <w:t>7.11 Health and Social Care (Safety and Quality) Act 2015</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_Toc496602633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17</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34" w:history="1">
        <w:r w:rsidR="00985B06" w:rsidRPr="00985B06">
          <w:rPr>
            <w:rStyle w:val="Hyperlink"/>
            <w:rFonts w:ascii="Arial" w:hAnsi="Arial" w:cs="Arial"/>
            <w:noProof/>
            <w:sz w:val="24"/>
            <w:szCs w:val="24"/>
          </w:rPr>
          <w:t>7.12 Computer Misuse Act 1990</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_Toc496602634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17</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35" w:history="1">
        <w:r w:rsidR="00985B06" w:rsidRPr="00985B06">
          <w:rPr>
            <w:rStyle w:val="Hyperlink"/>
            <w:rFonts w:ascii="Arial" w:hAnsi="Arial" w:cs="Arial"/>
            <w:noProof/>
            <w:sz w:val="24"/>
            <w:szCs w:val="24"/>
          </w:rPr>
          <w:t>7.13 Other legislation and guidance</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_Toc496602635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18</w:t>
        </w:r>
        <w:r w:rsidR="00985B06" w:rsidRPr="00985B06">
          <w:rPr>
            <w:rFonts w:ascii="Arial" w:hAnsi="Arial" w:cs="Arial"/>
            <w:noProof/>
            <w:webHidden/>
            <w:sz w:val="24"/>
            <w:szCs w:val="24"/>
          </w:rPr>
          <w:fldChar w:fldCharType="end"/>
        </w:r>
      </w:hyperlink>
    </w:p>
    <w:p w:rsidR="00985B06" w:rsidRPr="00985B06" w:rsidRDefault="00314845">
      <w:pPr>
        <w:pStyle w:val="TOC1"/>
        <w:tabs>
          <w:tab w:val="left" w:pos="440"/>
          <w:tab w:val="right" w:pos="8949"/>
        </w:tabs>
        <w:rPr>
          <w:rFonts w:ascii="Arial" w:eastAsiaTheme="minorEastAsia" w:hAnsi="Arial"/>
          <w:noProof/>
          <w:lang w:eastAsia="en-GB"/>
        </w:rPr>
      </w:pPr>
      <w:hyperlink w:anchor="_Toc496602636" w:history="1">
        <w:r w:rsidR="00985B06" w:rsidRPr="00985B06">
          <w:rPr>
            <w:rStyle w:val="Hyperlink"/>
            <w:rFonts w:ascii="Arial" w:hAnsi="Arial"/>
            <w:noProof/>
          </w:rPr>
          <w:t>8.</w:t>
        </w:r>
        <w:r w:rsidR="00985B06" w:rsidRPr="00985B06">
          <w:rPr>
            <w:rFonts w:ascii="Arial" w:eastAsiaTheme="minorEastAsia" w:hAnsi="Arial"/>
            <w:noProof/>
            <w:lang w:eastAsia="en-GB"/>
          </w:rPr>
          <w:tab/>
        </w:r>
        <w:r w:rsidR="00985B06" w:rsidRPr="00985B06">
          <w:rPr>
            <w:rStyle w:val="Hyperlink"/>
            <w:rFonts w:ascii="Arial" w:hAnsi="Arial"/>
            <w:noProof/>
          </w:rPr>
          <w:t>TRAINING</w:t>
        </w:r>
        <w:r w:rsidR="00985B06" w:rsidRPr="00985B06">
          <w:rPr>
            <w:rFonts w:ascii="Arial" w:hAnsi="Arial"/>
            <w:noProof/>
            <w:webHidden/>
          </w:rPr>
          <w:tab/>
        </w:r>
        <w:r w:rsidR="00985B06" w:rsidRPr="00985B06">
          <w:rPr>
            <w:rFonts w:ascii="Arial" w:hAnsi="Arial"/>
            <w:noProof/>
            <w:webHidden/>
          </w:rPr>
          <w:fldChar w:fldCharType="begin"/>
        </w:r>
        <w:r w:rsidR="00985B06" w:rsidRPr="00985B06">
          <w:rPr>
            <w:rFonts w:ascii="Arial" w:hAnsi="Arial"/>
            <w:noProof/>
            <w:webHidden/>
          </w:rPr>
          <w:instrText xml:space="preserve"> PAGEREF _Toc496602636 \h </w:instrText>
        </w:r>
        <w:r w:rsidR="00985B06" w:rsidRPr="00985B06">
          <w:rPr>
            <w:rFonts w:ascii="Arial" w:hAnsi="Arial"/>
            <w:noProof/>
            <w:webHidden/>
          </w:rPr>
        </w:r>
        <w:r w:rsidR="00985B06" w:rsidRPr="00985B06">
          <w:rPr>
            <w:rFonts w:ascii="Arial" w:hAnsi="Arial"/>
            <w:noProof/>
            <w:webHidden/>
          </w:rPr>
          <w:fldChar w:fldCharType="separate"/>
        </w:r>
        <w:r w:rsidR="00320AC2">
          <w:rPr>
            <w:rFonts w:ascii="Arial" w:hAnsi="Arial"/>
            <w:noProof/>
            <w:webHidden/>
          </w:rPr>
          <w:t>19</w:t>
        </w:r>
        <w:r w:rsidR="00985B06" w:rsidRPr="00985B06">
          <w:rPr>
            <w:rFonts w:ascii="Arial" w:hAnsi="Arial"/>
            <w:noProof/>
            <w:webHidden/>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37" w:history="1">
        <w:r w:rsidR="00985B06" w:rsidRPr="00985B06">
          <w:rPr>
            <w:rStyle w:val="Hyperlink"/>
            <w:rFonts w:ascii="Arial" w:hAnsi="Arial" w:cs="Arial"/>
            <w:noProof/>
            <w:sz w:val="24"/>
            <w:szCs w:val="24"/>
          </w:rPr>
          <w:t>8.1 Mandatory Training</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_Toc496602637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19</w:t>
        </w:r>
        <w:r w:rsidR="00985B06" w:rsidRPr="00985B06">
          <w:rPr>
            <w:rFonts w:ascii="Arial" w:hAnsi="Arial" w:cs="Arial"/>
            <w:noProof/>
            <w:webHidden/>
            <w:sz w:val="24"/>
            <w:szCs w:val="24"/>
          </w:rPr>
          <w:fldChar w:fldCharType="end"/>
        </w:r>
      </w:hyperlink>
    </w:p>
    <w:p w:rsidR="00985B06" w:rsidRPr="00985B06" w:rsidRDefault="00314845">
      <w:pPr>
        <w:pStyle w:val="TOC2"/>
        <w:tabs>
          <w:tab w:val="right" w:pos="8949"/>
        </w:tabs>
        <w:rPr>
          <w:rFonts w:ascii="Arial" w:hAnsi="Arial" w:cs="Arial"/>
          <w:noProof/>
          <w:sz w:val="24"/>
          <w:szCs w:val="24"/>
          <w:lang w:val="en-GB" w:eastAsia="en-GB"/>
        </w:rPr>
      </w:pPr>
      <w:hyperlink w:anchor="_Toc496602638" w:history="1">
        <w:r w:rsidR="00985B06" w:rsidRPr="00985B06">
          <w:rPr>
            <w:rStyle w:val="Hyperlink"/>
            <w:rFonts w:ascii="Arial" w:hAnsi="Arial" w:cs="Arial"/>
            <w:noProof/>
            <w:sz w:val="24"/>
            <w:szCs w:val="24"/>
          </w:rPr>
          <w:t>8.2 Specialist Training</w:t>
        </w:r>
        <w:r w:rsidR="00985B06" w:rsidRPr="00985B06">
          <w:rPr>
            <w:rFonts w:ascii="Arial" w:hAnsi="Arial" w:cs="Arial"/>
            <w:noProof/>
            <w:webHidden/>
            <w:sz w:val="24"/>
            <w:szCs w:val="24"/>
          </w:rPr>
          <w:tab/>
        </w:r>
        <w:r w:rsidR="00985B06" w:rsidRPr="00985B06">
          <w:rPr>
            <w:rFonts w:ascii="Arial" w:hAnsi="Arial" w:cs="Arial"/>
            <w:noProof/>
            <w:webHidden/>
            <w:sz w:val="24"/>
            <w:szCs w:val="24"/>
          </w:rPr>
          <w:fldChar w:fldCharType="begin"/>
        </w:r>
        <w:r w:rsidR="00985B06" w:rsidRPr="00985B06">
          <w:rPr>
            <w:rFonts w:ascii="Arial" w:hAnsi="Arial" w:cs="Arial"/>
            <w:noProof/>
            <w:webHidden/>
            <w:sz w:val="24"/>
            <w:szCs w:val="24"/>
          </w:rPr>
          <w:instrText xml:space="preserve"> PAGEREF _Toc496602638 \h </w:instrText>
        </w:r>
        <w:r w:rsidR="00985B06" w:rsidRPr="00985B06">
          <w:rPr>
            <w:rFonts w:ascii="Arial" w:hAnsi="Arial" w:cs="Arial"/>
            <w:noProof/>
            <w:webHidden/>
            <w:sz w:val="24"/>
            <w:szCs w:val="24"/>
          </w:rPr>
        </w:r>
        <w:r w:rsidR="00985B06" w:rsidRPr="00985B06">
          <w:rPr>
            <w:rFonts w:ascii="Arial" w:hAnsi="Arial" w:cs="Arial"/>
            <w:noProof/>
            <w:webHidden/>
            <w:sz w:val="24"/>
            <w:szCs w:val="24"/>
          </w:rPr>
          <w:fldChar w:fldCharType="separate"/>
        </w:r>
        <w:r w:rsidR="00320AC2">
          <w:rPr>
            <w:rFonts w:ascii="Arial" w:hAnsi="Arial" w:cs="Arial"/>
            <w:noProof/>
            <w:webHidden/>
            <w:sz w:val="24"/>
            <w:szCs w:val="24"/>
          </w:rPr>
          <w:t>19</w:t>
        </w:r>
        <w:r w:rsidR="00985B06" w:rsidRPr="00985B06">
          <w:rPr>
            <w:rFonts w:ascii="Arial" w:hAnsi="Arial" w:cs="Arial"/>
            <w:noProof/>
            <w:webHidden/>
            <w:sz w:val="24"/>
            <w:szCs w:val="24"/>
          </w:rPr>
          <w:fldChar w:fldCharType="end"/>
        </w:r>
      </w:hyperlink>
    </w:p>
    <w:p w:rsidR="00985B06" w:rsidRPr="00985B06" w:rsidRDefault="00314845">
      <w:pPr>
        <w:pStyle w:val="TOC1"/>
        <w:tabs>
          <w:tab w:val="left" w:pos="440"/>
          <w:tab w:val="right" w:pos="8949"/>
        </w:tabs>
        <w:rPr>
          <w:rFonts w:ascii="Arial" w:eastAsiaTheme="minorEastAsia" w:hAnsi="Arial"/>
          <w:noProof/>
          <w:lang w:eastAsia="en-GB"/>
        </w:rPr>
      </w:pPr>
      <w:hyperlink w:anchor="_Toc496602639" w:history="1">
        <w:r w:rsidR="00985B06" w:rsidRPr="00985B06">
          <w:rPr>
            <w:rStyle w:val="Hyperlink"/>
            <w:rFonts w:ascii="Arial" w:hAnsi="Arial"/>
            <w:noProof/>
          </w:rPr>
          <w:t>9.</w:t>
        </w:r>
        <w:r w:rsidR="00985B06" w:rsidRPr="00985B06">
          <w:rPr>
            <w:rFonts w:ascii="Arial" w:eastAsiaTheme="minorEastAsia" w:hAnsi="Arial"/>
            <w:noProof/>
            <w:lang w:eastAsia="en-GB"/>
          </w:rPr>
          <w:tab/>
        </w:r>
        <w:r w:rsidR="00985B06" w:rsidRPr="00985B06">
          <w:rPr>
            <w:rStyle w:val="Hyperlink"/>
            <w:rFonts w:ascii="Arial" w:hAnsi="Arial"/>
            <w:noProof/>
          </w:rPr>
          <w:t>IMPLEMENTATION AND DISSEMINATION</w:t>
        </w:r>
        <w:r w:rsidR="00985B06" w:rsidRPr="00985B06">
          <w:rPr>
            <w:rFonts w:ascii="Arial" w:hAnsi="Arial"/>
            <w:noProof/>
            <w:webHidden/>
          </w:rPr>
          <w:tab/>
        </w:r>
        <w:r w:rsidR="00985B06" w:rsidRPr="00985B06">
          <w:rPr>
            <w:rFonts w:ascii="Arial" w:hAnsi="Arial"/>
            <w:noProof/>
            <w:webHidden/>
          </w:rPr>
          <w:fldChar w:fldCharType="begin"/>
        </w:r>
        <w:r w:rsidR="00985B06" w:rsidRPr="00985B06">
          <w:rPr>
            <w:rFonts w:ascii="Arial" w:hAnsi="Arial"/>
            <w:noProof/>
            <w:webHidden/>
          </w:rPr>
          <w:instrText xml:space="preserve"> PAGEREF _Toc496602639 \h </w:instrText>
        </w:r>
        <w:r w:rsidR="00985B06" w:rsidRPr="00985B06">
          <w:rPr>
            <w:rFonts w:ascii="Arial" w:hAnsi="Arial"/>
            <w:noProof/>
            <w:webHidden/>
          </w:rPr>
        </w:r>
        <w:r w:rsidR="00985B06" w:rsidRPr="00985B06">
          <w:rPr>
            <w:rFonts w:ascii="Arial" w:hAnsi="Arial"/>
            <w:noProof/>
            <w:webHidden/>
          </w:rPr>
          <w:fldChar w:fldCharType="separate"/>
        </w:r>
        <w:r w:rsidR="00320AC2">
          <w:rPr>
            <w:rFonts w:ascii="Arial" w:hAnsi="Arial"/>
            <w:noProof/>
            <w:webHidden/>
          </w:rPr>
          <w:t>19</w:t>
        </w:r>
        <w:r w:rsidR="00985B06" w:rsidRPr="00985B06">
          <w:rPr>
            <w:rFonts w:ascii="Arial" w:hAnsi="Arial"/>
            <w:noProof/>
            <w:webHidden/>
          </w:rPr>
          <w:fldChar w:fldCharType="end"/>
        </w:r>
      </w:hyperlink>
    </w:p>
    <w:p w:rsidR="00985B06" w:rsidRPr="00985B06" w:rsidRDefault="00314845">
      <w:pPr>
        <w:pStyle w:val="TOC1"/>
        <w:tabs>
          <w:tab w:val="left" w:pos="660"/>
          <w:tab w:val="right" w:pos="8949"/>
        </w:tabs>
        <w:rPr>
          <w:rFonts w:ascii="Arial" w:eastAsiaTheme="minorEastAsia" w:hAnsi="Arial"/>
          <w:noProof/>
          <w:lang w:eastAsia="en-GB"/>
        </w:rPr>
      </w:pPr>
      <w:hyperlink w:anchor="_Toc496602640" w:history="1">
        <w:r w:rsidR="00985B06" w:rsidRPr="00985B06">
          <w:rPr>
            <w:rStyle w:val="Hyperlink"/>
            <w:rFonts w:ascii="Arial" w:hAnsi="Arial"/>
            <w:noProof/>
          </w:rPr>
          <w:t>10.</w:t>
        </w:r>
        <w:r w:rsidR="00985B06" w:rsidRPr="00985B06">
          <w:rPr>
            <w:rFonts w:ascii="Arial" w:eastAsiaTheme="minorEastAsia" w:hAnsi="Arial"/>
            <w:noProof/>
            <w:lang w:eastAsia="en-GB"/>
          </w:rPr>
          <w:tab/>
        </w:r>
        <w:r w:rsidR="00985B06" w:rsidRPr="00985B06">
          <w:rPr>
            <w:rStyle w:val="Hyperlink"/>
            <w:rFonts w:ascii="Arial" w:hAnsi="Arial"/>
            <w:noProof/>
          </w:rPr>
          <w:t>MONITORING COMPLIANCE AND EFFECTIVENESS OF THE POLICY</w:t>
        </w:r>
        <w:r w:rsidR="00985B06" w:rsidRPr="00985B06">
          <w:rPr>
            <w:rFonts w:ascii="Arial" w:hAnsi="Arial"/>
            <w:noProof/>
            <w:webHidden/>
          </w:rPr>
          <w:tab/>
        </w:r>
        <w:r w:rsidR="00985B06" w:rsidRPr="00985B06">
          <w:rPr>
            <w:rFonts w:ascii="Arial" w:hAnsi="Arial"/>
            <w:noProof/>
            <w:webHidden/>
          </w:rPr>
          <w:fldChar w:fldCharType="begin"/>
        </w:r>
        <w:r w:rsidR="00985B06" w:rsidRPr="00985B06">
          <w:rPr>
            <w:rFonts w:ascii="Arial" w:hAnsi="Arial"/>
            <w:noProof/>
            <w:webHidden/>
          </w:rPr>
          <w:instrText xml:space="preserve"> PAGEREF _Toc496602640 \h </w:instrText>
        </w:r>
        <w:r w:rsidR="00985B06" w:rsidRPr="00985B06">
          <w:rPr>
            <w:rFonts w:ascii="Arial" w:hAnsi="Arial"/>
            <w:noProof/>
            <w:webHidden/>
          </w:rPr>
        </w:r>
        <w:r w:rsidR="00985B06" w:rsidRPr="00985B06">
          <w:rPr>
            <w:rFonts w:ascii="Arial" w:hAnsi="Arial"/>
            <w:noProof/>
            <w:webHidden/>
          </w:rPr>
          <w:fldChar w:fldCharType="separate"/>
        </w:r>
        <w:r w:rsidR="00320AC2">
          <w:rPr>
            <w:rFonts w:ascii="Arial" w:hAnsi="Arial"/>
            <w:noProof/>
            <w:webHidden/>
          </w:rPr>
          <w:t>19</w:t>
        </w:r>
        <w:r w:rsidR="00985B06" w:rsidRPr="00985B06">
          <w:rPr>
            <w:rFonts w:ascii="Arial" w:hAnsi="Arial"/>
            <w:noProof/>
            <w:webHidden/>
          </w:rPr>
          <w:fldChar w:fldCharType="end"/>
        </w:r>
      </w:hyperlink>
    </w:p>
    <w:p w:rsidR="00985B06" w:rsidRPr="00985B06" w:rsidRDefault="00314845">
      <w:pPr>
        <w:pStyle w:val="TOC1"/>
        <w:tabs>
          <w:tab w:val="left" w:pos="660"/>
          <w:tab w:val="right" w:pos="8949"/>
        </w:tabs>
        <w:rPr>
          <w:rFonts w:ascii="Arial" w:eastAsiaTheme="minorEastAsia" w:hAnsi="Arial"/>
          <w:noProof/>
          <w:lang w:eastAsia="en-GB"/>
        </w:rPr>
      </w:pPr>
      <w:hyperlink w:anchor="_Toc496602641" w:history="1">
        <w:r w:rsidR="00985B06" w:rsidRPr="00985B06">
          <w:rPr>
            <w:rStyle w:val="Hyperlink"/>
            <w:rFonts w:ascii="Arial" w:hAnsi="Arial"/>
            <w:noProof/>
          </w:rPr>
          <w:t>11.</w:t>
        </w:r>
        <w:r w:rsidR="00985B06" w:rsidRPr="00985B06">
          <w:rPr>
            <w:rFonts w:ascii="Arial" w:eastAsiaTheme="minorEastAsia" w:hAnsi="Arial"/>
            <w:noProof/>
            <w:lang w:eastAsia="en-GB"/>
          </w:rPr>
          <w:tab/>
        </w:r>
        <w:r w:rsidR="00985B06" w:rsidRPr="00985B06">
          <w:rPr>
            <w:rStyle w:val="Hyperlink"/>
            <w:rFonts w:ascii="Arial" w:hAnsi="Arial"/>
            <w:noProof/>
          </w:rPr>
          <w:t>ADVICE AND GUIDANCE</w:t>
        </w:r>
        <w:r w:rsidR="00985B06" w:rsidRPr="00985B06">
          <w:rPr>
            <w:rFonts w:ascii="Arial" w:hAnsi="Arial"/>
            <w:noProof/>
            <w:webHidden/>
          </w:rPr>
          <w:tab/>
        </w:r>
        <w:r w:rsidR="00985B06" w:rsidRPr="00985B06">
          <w:rPr>
            <w:rFonts w:ascii="Arial" w:hAnsi="Arial"/>
            <w:noProof/>
            <w:webHidden/>
          </w:rPr>
          <w:fldChar w:fldCharType="begin"/>
        </w:r>
        <w:r w:rsidR="00985B06" w:rsidRPr="00985B06">
          <w:rPr>
            <w:rFonts w:ascii="Arial" w:hAnsi="Arial"/>
            <w:noProof/>
            <w:webHidden/>
          </w:rPr>
          <w:instrText xml:space="preserve"> PAGEREF _Toc496602641 \h </w:instrText>
        </w:r>
        <w:r w:rsidR="00985B06" w:rsidRPr="00985B06">
          <w:rPr>
            <w:rFonts w:ascii="Arial" w:hAnsi="Arial"/>
            <w:noProof/>
            <w:webHidden/>
          </w:rPr>
        </w:r>
        <w:r w:rsidR="00985B06" w:rsidRPr="00985B06">
          <w:rPr>
            <w:rFonts w:ascii="Arial" w:hAnsi="Arial"/>
            <w:noProof/>
            <w:webHidden/>
          </w:rPr>
          <w:fldChar w:fldCharType="separate"/>
        </w:r>
        <w:r w:rsidR="00320AC2">
          <w:rPr>
            <w:rFonts w:ascii="Arial" w:hAnsi="Arial"/>
            <w:noProof/>
            <w:webHidden/>
          </w:rPr>
          <w:t>20</w:t>
        </w:r>
        <w:r w:rsidR="00985B06" w:rsidRPr="00985B06">
          <w:rPr>
            <w:rFonts w:ascii="Arial" w:hAnsi="Arial"/>
            <w:noProof/>
            <w:webHidden/>
          </w:rPr>
          <w:fldChar w:fldCharType="end"/>
        </w:r>
      </w:hyperlink>
    </w:p>
    <w:p w:rsidR="00985B06" w:rsidRPr="00985B06" w:rsidRDefault="00314845">
      <w:pPr>
        <w:pStyle w:val="TOC1"/>
        <w:tabs>
          <w:tab w:val="left" w:pos="660"/>
          <w:tab w:val="right" w:pos="8949"/>
        </w:tabs>
        <w:rPr>
          <w:rFonts w:ascii="Arial" w:eastAsiaTheme="minorEastAsia" w:hAnsi="Arial"/>
          <w:noProof/>
          <w:lang w:eastAsia="en-GB"/>
        </w:rPr>
      </w:pPr>
      <w:hyperlink w:anchor="_Toc496602642" w:history="1">
        <w:r w:rsidR="00985B06" w:rsidRPr="00985B06">
          <w:rPr>
            <w:rStyle w:val="Hyperlink"/>
            <w:rFonts w:ascii="Arial" w:hAnsi="Arial"/>
            <w:noProof/>
          </w:rPr>
          <w:t>12.</w:t>
        </w:r>
        <w:r w:rsidR="00985B06" w:rsidRPr="00985B06">
          <w:rPr>
            <w:rFonts w:ascii="Arial" w:eastAsiaTheme="minorEastAsia" w:hAnsi="Arial"/>
            <w:noProof/>
            <w:lang w:eastAsia="en-GB"/>
          </w:rPr>
          <w:tab/>
        </w:r>
        <w:r w:rsidR="00985B06" w:rsidRPr="00985B06">
          <w:rPr>
            <w:rStyle w:val="Hyperlink"/>
            <w:rFonts w:ascii="Arial" w:hAnsi="Arial"/>
            <w:noProof/>
          </w:rPr>
          <w:t>ASSOCIATED DOCUMENTS (Policies, protocols and procedures)</w:t>
        </w:r>
        <w:r w:rsidR="00985B06" w:rsidRPr="00985B06">
          <w:rPr>
            <w:rFonts w:ascii="Arial" w:hAnsi="Arial"/>
            <w:noProof/>
            <w:webHidden/>
          </w:rPr>
          <w:tab/>
        </w:r>
        <w:r w:rsidR="00985B06" w:rsidRPr="00985B06">
          <w:rPr>
            <w:rFonts w:ascii="Arial" w:hAnsi="Arial"/>
            <w:noProof/>
            <w:webHidden/>
          </w:rPr>
          <w:fldChar w:fldCharType="begin"/>
        </w:r>
        <w:r w:rsidR="00985B06" w:rsidRPr="00985B06">
          <w:rPr>
            <w:rFonts w:ascii="Arial" w:hAnsi="Arial"/>
            <w:noProof/>
            <w:webHidden/>
          </w:rPr>
          <w:instrText xml:space="preserve"> PAGEREF _Toc496602642 \h </w:instrText>
        </w:r>
        <w:r w:rsidR="00985B06" w:rsidRPr="00985B06">
          <w:rPr>
            <w:rFonts w:ascii="Arial" w:hAnsi="Arial"/>
            <w:noProof/>
            <w:webHidden/>
          </w:rPr>
        </w:r>
        <w:r w:rsidR="00985B06" w:rsidRPr="00985B06">
          <w:rPr>
            <w:rFonts w:ascii="Arial" w:hAnsi="Arial"/>
            <w:noProof/>
            <w:webHidden/>
          </w:rPr>
          <w:fldChar w:fldCharType="separate"/>
        </w:r>
        <w:r w:rsidR="00320AC2">
          <w:rPr>
            <w:rFonts w:ascii="Arial" w:hAnsi="Arial"/>
            <w:noProof/>
            <w:webHidden/>
          </w:rPr>
          <w:t>20</w:t>
        </w:r>
        <w:r w:rsidR="00985B06" w:rsidRPr="00985B06">
          <w:rPr>
            <w:rFonts w:ascii="Arial" w:hAnsi="Arial"/>
            <w:noProof/>
            <w:webHidden/>
          </w:rPr>
          <w:fldChar w:fldCharType="end"/>
        </w:r>
      </w:hyperlink>
    </w:p>
    <w:p w:rsidR="00DA6169" w:rsidRPr="00527E0C" w:rsidRDefault="008175D3" w:rsidP="00512755">
      <w:pPr>
        <w:pStyle w:val="Heading1"/>
        <w:rPr>
          <w:b w:val="0"/>
        </w:rPr>
      </w:pPr>
      <w:r w:rsidRPr="00985B06">
        <w:rPr>
          <w:b w:val="0"/>
        </w:rPr>
        <w:fldChar w:fldCharType="end"/>
      </w:r>
    </w:p>
    <w:p w:rsidR="00BC3CEF" w:rsidRPr="00527E0C" w:rsidRDefault="00BC3CEF" w:rsidP="00742AB8">
      <w:pPr>
        <w:rPr>
          <w:b/>
        </w:rPr>
      </w:pPr>
    </w:p>
    <w:p w:rsidR="00681AF5" w:rsidRPr="00527E0C" w:rsidRDefault="00681AF5">
      <w:pPr>
        <w:rPr>
          <w:b/>
        </w:rPr>
      </w:pPr>
      <w:r w:rsidRPr="00527E0C">
        <w:rPr>
          <w:b/>
        </w:rPr>
        <w:br w:type="page"/>
      </w:r>
    </w:p>
    <w:p w:rsidR="005E6C8E" w:rsidRPr="00527E0C" w:rsidRDefault="005E6C8E" w:rsidP="005E6C8E">
      <w:pPr>
        <w:rPr>
          <w:b/>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8543"/>
      </w:tblGrid>
      <w:tr w:rsidR="00E346EB" w:rsidRPr="00527E0C" w:rsidTr="00837CC1">
        <w:tc>
          <w:tcPr>
            <w:tcW w:w="9351" w:type="dxa"/>
            <w:gridSpan w:val="2"/>
          </w:tcPr>
          <w:p w:rsidR="00E346EB" w:rsidRPr="00527E0C" w:rsidRDefault="00E346EB" w:rsidP="00512755">
            <w:pPr>
              <w:pStyle w:val="Heading1"/>
              <w:numPr>
                <w:ilvl w:val="0"/>
                <w:numId w:val="22"/>
              </w:numPr>
            </w:pPr>
            <w:bookmarkStart w:id="0" w:name="_Toc496602598"/>
            <w:r w:rsidRPr="00527E0C">
              <w:t>INTRODUCTION</w:t>
            </w:r>
            <w:bookmarkEnd w:id="0"/>
          </w:p>
        </w:tc>
      </w:tr>
      <w:tr w:rsidR="00A500AF" w:rsidRPr="00527E0C" w:rsidTr="00837CC1">
        <w:tc>
          <w:tcPr>
            <w:tcW w:w="808" w:type="dxa"/>
          </w:tcPr>
          <w:p w:rsidR="00A500AF" w:rsidRPr="00527E0C" w:rsidRDefault="00A500AF" w:rsidP="008048CA">
            <w:pPr>
              <w:rPr>
                <w:b/>
              </w:rPr>
            </w:pPr>
          </w:p>
        </w:tc>
        <w:tc>
          <w:tcPr>
            <w:tcW w:w="8543" w:type="dxa"/>
          </w:tcPr>
          <w:p w:rsidR="00A500AF" w:rsidRPr="00527E0C" w:rsidRDefault="00A500AF" w:rsidP="008048CA">
            <w:pPr>
              <w:rPr>
                <w:b/>
              </w:rPr>
            </w:pPr>
          </w:p>
        </w:tc>
      </w:tr>
      <w:tr w:rsidR="00A500AF" w:rsidRPr="00527E0C" w:rsidTr="00837CC1">
        <w:tc>
          <w:tcPr>
            <w:tcW w:w="808" w:type="dxa"/>
          </w:tcPr>
          <w:p w:rsidR="00A500AF" w:rsidRPr="00527E0C" w:rsidRDefault="00A500AF" w:rsidP="008048CA">
            <w:pPr>
              <w:rPr>
                <w:b/>
              </w:rPr>
            </w:pPr>
          </w:p>
        </w:tc>
        <w:tc>
          <w:tcPr>
            <w:tcW w:w="8543" w:type="dxa"/>
          </w:tcPr>
          <w:p w:rsidR="00A500AF" w:rsidRPr="00527E0C" w:rsidRDefault="00F85240" w:rsidP="00587700">
            <w:pPr>
              <w:rPr>
                <w:b/>
              </w:rPr>
            </w:pPr>
            <w:r>
              <w:t>Aire Valley Surgery</w:t>
            </w:r>
            <w:r w:rsidR="00A500AF" w:rsidRPr="00527E0C">
              <w:t xml:space="preserve"> recognises the importance of reliable information, both in terms of the clinical management of individual patients and the efficient management of services and resources. The </w:t>
            </w:r>
            <w:r w:rsidR="00287C0B">
              <w:t>Practice</w:t>
            </w:r>
            <w:r w:rsidR="00A500AF" w:rsidRPr="00527E0C">
              <w:t xml:space="preserve"> also recognise the duty of confidentiality owed to patients, families, staff and business partners with regard to all the ways in which </w:t>
            </w:r>
            <w:r w:rsidR="00587700" w:rsidRPr="00527E0C">
              <w:t xml:space="preserve">they </w:t>
            </w:r>
            <w:r w:rsidR="00311A76">
              <w:t>process, store, share and dispose</w:t>
            </w:r>
            <w:r w:rsidR="00A500AF" w:rsidRPr="00527E0C">
              <w:t xml:space="preserve"> of information.</w:t>
            </w:r>
          </w:p>
        </w:tc>
      </w:tr>
      <w:tr w:rsidR="00A500AF" w:rsidRPr="00527E0C" w:rsidTr="00837CC1">
        <w:tc>
          <w:tcPr>
            <w:tcW w:w="808" w:type="dxa"/>
          </w:tcPr>
          <w:p w:rsidR="00A500AF" w:rsidRPr="00527E0C" w:rsidRDefault="00A500AF" w:rsidP="008048CA">
            <w:pPr>
              <w:rPr>
                <w:b/>
              </w:rPr>
            </w:pPr>
          </w:p>
        </w:tc>
        <w:tc>
          <w:tcPr>
            <w:tcW w:w="8543" w:type="dxa"/>
          </w:tcPr>
          <w:p w:rsidR="00A500AF" w:rsidRPr="00527E0C" w:rsidRDefault="00A500AF" w:rsidP="008048CA">
            <w:pPr>
              <w:rPr>
                <w:highlight w:val="yellow"/>
              </w:rPr>
            </w:pPr>
          </w:p>
        </w:tc>
      </w:tr>
      <w:tr w:rsidR="00A500AF" w:rsidRPr="00527E0C" w:rsidTr="00837CC1">
        <w:tc>
          <w:tcPr>
            <w:tcW w:w="808" w:type="dxa"/>
          </w:tcPr>
          <w:p w:rsidR="00A500AF" w:rsidRPr="00527E0C" w:rsidRDefault="00A500AF" w:rsidP="008048CA">
            <w:pPr>
              <w:rPr>
                <w:b/>
              </w:rPr>
            </w:pPr>
          </w:p>
        </w:tc>
        <w:tc>
          <w:tcPr>
            <w:tcW w:w="8543" w:type="dxa"/>
          </w:tcPr>
          <w:p w:rsidR="00A500AF" w:rsidRPr="00527E0C" w:rsidRDefault="00A500AF" w:rsidP="008048CA">
            <w:r w:rsidRPr="00527E0C">
              <w:t xml:space="preserve">Confidentiality and </w:t>
            </w:r>
            <w:r w:rsidR="00512D73" w:rsidRPr="00527E0C">
              <w:t>d</w:t>
            </w:r>
            <w:r w:rsidRPr="00527E0C">
              <w:t xml:space="preserve">ata </w:t>
            </w:r>
            <w:r w:rsidR="00512D73" w:rsidRPr="00527E0C">
              <w:t>p</w:t>
            </w:r>
            <w:r w:rsidRPr="00527E0C">
              <w:t xml:space="preserve">rotection legislation and guidance provide a framework for the management of all data from which individuals can be identified. It is essential that all staff and contractors of the </w:t>
            </w:r>
            <w:r w:rsidR="00287C0B">
              <w:t>Practice</w:t>
            </w:r>
            <w:r w:rsidRPr="00527E0C">
              <w:t xml:space="preserve"> are fully aware of their personal responsibilities for information which they may come into contact with.</w:t>
            </w:r>
          </w:p>
        </w:tc>
      </w:tr>
      <w:tr w:rsidR="00A500AF" w:rsidRPr="00527E0C" w:rsidTr="00837CC1">
        <w:tc>
          <w:tcPr>
            <w:tcW w:w="808" w:type="dxa"/>
          </w:tcPr>
          <w:p w:rsidR="00A500AF" w:rsidRPr="00527E0C" w:rsidRDefault="00A500AF" w:rsidP="008048CA">
            <w:pPr>
              <w:rPr>
                <w:b/>
              </w:rPr>
            </w:pPr>
          </w:p>
        </w:tc>
        <w:tc>
          <w:tcPr>
            <w:tcW w:w="8543" w:type="dxa"/>
          </w:tcPr>
          <w:p w:rsidR="00A500AF" w:rsidRPr="00527E0C" w:rsidRDefault="00A500AF" w:rsidP="008048CA"/>
        </w:tc>
      </w:tr>
      <w:tr w:rsidR="00E346EB" w:rsidRPr="00527E0C" w:rsidTr="00837CC1">
        <w:tc>
          <w:tcPr>
            <w:tcW w:w="9351" w:type="dxa"/>
            <w:gridSpan w:val="2"/>
          </w:tcPr>
          <w:p w:rsidR="00E346EB" w:rsidRPr="00527E0C" w:rsidRDefault="00E346EB" w:rsidP="00512755">
            <w:pPr>
              <w:pStyle w:val="Heading1"/>
              <w:numPr>
                <w:ilvl w:val="0"/>
                <w:numId w:val="22"/>
              </w:numPr>
            </w:pPr>
            <w:bookmarkStart w:id="1" w:name="_Toc496602599"/>
            <w:r w:rsidRPr="00527E0C">
              <w:t>AIMS</w:t>
            </w:r>
            <w:bookmarkEnd w:id="1"/>
          </w:p>
        </w:tc>
      </w:tr>
      <w:tr w:rsidR="00A500AF" w:rsidRPr="00527E0C" w:rsidTr="00837CC1">
        <w:tc>
          <w:tcPr>
            <w:tcW w:w="808" w:type="dxa"/>
          </w:tcPr>
          <w:p w:rsidR="00A500AF" w:rsidRPr="00527E0C" w:rsidRDefault="00A500AF" w:rsidP="008048CA">
            <w:pPr>
              <w:rPr>
                <w:b/>
              </w:rPr>
            </w:pPr>
          </w:p>
        </w:tc>
        <w:tc>
          <w:tcPr>
            <w:tcW w:w="8543" w:type="dxa"/>
          </w:tcPr>
          <w:p w:rsidR="00A500AF" w:rsidRPr="00527E0C" w:rsidRDefault="00A500AF" w:rsidP="008048CA"/>
        </w:tc>
      </w:tr>
      <w:tr w:rsidR="00A500AF" w:rsidRPr="00527E0C" w:rsidTr="00837CC1">
        <w:tc>
          <w:tcPr>
            <w:tcW w:w="808" w:type="dxa"/>
          </w:tcPr>
          <w:p w:rsidR="00A500AF" w:rsidRPr="00527E0C" w:rsidRDefault="00A500AF" w:rsidP="008048CA">
            <w:pPr>
              <w:rPr>
                <w:b/>
              </w:rPr>
            </w:pPr>
          </w:p>
        </w:tc>
        <w:tc>
          <w:tcPr>
            <w:tcW w:w="8543" w:type="dxa"/>
          </w:tcPr>
          <w:p w:rsidR="00A500AF" w:rsidRPr="00527E0C" w:rsidRDefault="00A500AF" w:rsidP="00311A76">
            <w:pPr>
              <w:rPr>
                <w:b/>
              </w:rPr>
            </w:pPr>
            <w:r w:rsidRPr="00527E0C">
              <w:t xml:space="preserve">The aim of the policy is to ensure that all staff understand their obligations with regard to any information they come into contact with in the course of their work and to provide assurance that the </w:t>
            </w:r>
            <w:r w:rsidR="00287C0B">
              <w:t>Practice</w:t>
            </w:r>
            <w:r w:rsidRPr="00527E0C">
              <w:t xml:space="preserve"> have in place the processes, rules and guidelines to ensure such information is dealt with legally, efficiently and effectively.</w:t>
            </w:r>
          </w:p>
        </w:tc>
      </w:tr>
      <w:tr w:rsidR="00A500AF" w:rsidRPr="00527E0C" w:rsidTr="00837CC1">
        <w:tc>
          <w:tcPr>
            <w:tcW w:w="808" w:type="dxa"/>
          </w:tcPr>
          <w:p w:rsidR="00A500AF" w:rsidRPr="00527E0C" w:rsidRDefault="00A500AF" w:rsidP="008048CA">
            <w:pPr>
              <w:rPr>
                <w:b/>
              </w:rPr>
            </w:pPr>
          </w:p>
        </w:tc>
        <w:tc>
          <w:tcPr>
            <w:tcW w:w="8543" w:type="dxa"/>
          </w:tcPr>
          <w:p w:rsidR="00A500AF" w:rsidRPr="00527E0C" w:rsidRDefault="00A500AF" w:rsidP="008048CA"/>
        </w:tc>
      </w:tr>
      <w:tr w:rsidR="00A500AF" w:rsidRPr="00527E0C" w:rsidTr="00837CC1">
        <w:tc>
          <w:tcPr>
            <w:tcW w:w="808" w:type="dxa"/>
          </w:tcPr>
          <w:p w:rsidR="00A500AF" w:rsidRPr="00527E0C" w:rsidRDefault="00A500AF" w:rsidP="008048CA">
            <w:pPr>
              <w:rPr>
                <w:b/>
              </w:rPr>
            </w:pPr>
          </w:p>
        </w:tc>
        <w:tc>
          <w:tcPr>
            <w:tcW w:w="8543" w:type="dxa"/>
          </w:tcPr>
          <w:p w:rsidR="00A500AF" w:rsidRPr="00527E0C" w:rsidRDefault="00A500AF" w:rsidP="001469DE">
            <w:r w:rsidRPr="00527E0C">
              <w:t xml:space="preserve">The </w:t>
            </w:r>
            <w:r w:rsidR="00287C0B">
              <w:t>Practice</w:t>
            </w:r>
            <w:r w:rsidRPr="00527E0C">
              <w:t xml:space="preserve"> will establish, implement and maintain procedures linked to this policy to ensure compliance with the requirements of </w:t>
            </w:r>
            <w:r w:rsidR="00683737" w:rsidRPr="00527E0C">
              <w:t xml:space="preserve">the General Data Protection Regulations (Regulation (EU) 2016/679) </w:t>
            </w:r>
            <w:r w:rsidR="00B23BB5" w:rsidRPr="00527E0C">
              <w:t xml:space="preserve">and </w:t>
            </w:r>
            <w:r w:rsidR="001469DE" w:rsidRPr="00527E0C">
              <w:t xml:space="preserve">the </w:t>
            </w:r>
            <w:r w:rsidRPr="00527E0C">
              <w:t xml:space="preserve">Data Protection Act and other </w:t>
            </w:r>
            <w:r w:rsidR="00683737" w:rsidRPr="00527E0C">
              <w:t xml:space="preserve">associated and </w:t>
            </w:r>
            <w:r w:rsidRPr="00527E0C">
              <w:t>related legislation and guidance, contractual responsibilities and to support the assurance standards of the Information Governance Toolkit.</w:t>
            </w:r>
          </w:p>
        </w:tc>
      </w:tr>
      <w:tr w:rsidR="00A500AF" w:rsidRPr="00527E0C" w:rsidTr="00837CC1">
        <w:tc>
          <w:tcPr>
            <w:tcW w:w="808" w:type="dxa"/>
          </w:tcPr>
          <w:p w:rsidR="00A500AF" w:rsidRPr="00527E0C" w:rsidRDefault="00A500AF" w:rsidP="008048CA">
            <w:pPr>
              <w:rPr>
                <w:b/>
              </w:rPr>
            </w:pPr>
          </w:p>
        </w:tc>
        <w:tc>
          <w:tcPr>
            <w:tcW w:w="8543" w:type="dxa"/>
          </w:tcPr>
          <w:p w:rsidR="00A500AF" w:rsidRPr="00527E0C" w:rsidRDefault="00A500AF" w:rsidP="008048CA"/>
        </w:tc>
      </w:tr>
      <w:tr w:rsidR="00A500AF" w:rsidRPr="00527E0C" w:rsidTr="00837CC1">
        <w:tc>
          <w:tcPr>
            <w:tcW w:w="808" w:type="dxa"/>
          </w:tcPr>
          <w:p w:rsidR="00A500AF" w:rsidRPr="00527E0C" w:rsidRDefault="00A500AF" w:rsidP="008048CA">
            <w:pPr>
              <w:rPr>
                <w:b/>
              </w:rPr>
            </w:pPr>
          </w:p>
        </w:tc>
        <w:tc>
          <w:tcPr>
            <w:tcW w:w="8543" w:type="dxa"/>
          </w:tcPr>
          <w:p w:rsidR="00A500AF" w:rsidRPr="00527E0C" w:rsidRDefault="00A500AF" w:rsidP="00311A76">
            <w:r w:rsidRPr="00527E0C">
              <w:t>This policy sup</w:t>
            </w:r>
            <w:r w:rsidR="00683737" w:rsidRPr="00527E0C">
              <w:t xml:space="preserve">ports the </w:t>
            </w:r>
            <w:r w:rsidR="00287C0B">
              <w:t>Practice</w:t>
            </w:r>
            <w:r w:rsidR="00683737" w:rsidRPr="00527E0C">
              <w:t xml:space="preserve"> in </w:t>
            </w:r>
            <w:r w:rsidR="00587700" w:rsidRPr="00527E0C">
              <w:t xml:space="preserve">their </w:t>
            </w:r>
            <w:r w:rsidR="00683737" w:rsidRPr="00527E0C">
              <w:t xml:space="preserve">role as </w:t>
            </w:r>
            <w:r w:rsidR="00311A76">
              <w:t>providers</w:t>
            </w:r>
            <w:r w:rsidRPr="00527E0C">
              <w:t xml:space="preserve"> of </w:t>
            </w:r>
            <w:r w:rsidR="00C2425E" w:rsidRPr="00527E0C">
              <w:t>health s</w:t>
            </w:r>
            <w:r w:rsidRPr="00527E0C">
              <w:t>ervices and will assist in the safe sharing of information with partner and agencies.</w:t>
            </w:r>
          </w:p>
        </w:tc>
      </w:tr>
      <w:tr w:rsidR="00A500AF" w:rsidRPr="00527E0C" w:rsidTr="00837CC1">
        <w:tc>
          <w:tcPr>
            <w:tcW w:w="808" w:type="dxa"/>
          </w:tcPr>
          <w:p w:rsidR="00A500AF" w:rsidRPr="00527E0C" w:rsidRDefault="00A500AF" w:rsidP="008048CA">
            <w:pPr>
              <w:rPr>
                <w:b/>
              </w:rPr>
            </w:pPr>
          </w:p>
        </w:tc>
        <w:tc>
          <w:tcPr>
            <w:tcW w:w="8543" w:type="dxa"/>
          </w:tcPr>
          <w:p w:rsidR="00A500AF" w:rsidRPr="00527E0C" w:rsidRDefault="00A500AF" w:rsidP="008048CA"/>
        </w:tc>
      </w:tr>
      <w:tr w:rsidR="00E346EB" w:rsidRPr="00527E0C" w:rsidTr="00837CC1">
        <w:tc>
          <w:tcPr>
            <w:tcW w:w="9351" w:type="dxa"/>
            <w:gridSpan w:val="2"/>
          </w:tcPr>
          <w:p w:rsidR="00E346EB" w:rsidRPr="00527E0C" w:rsidRDefault="00E346EB" w:rsidP="00512755">
            <w:pPr>
              <w:pStyle w:val="Heading1"/>
              <w:numPr>
                <w:ilvl w:val="0"/>
                <w:numId w:val="22"/>
              </w:numPr>
            </w:pPr>
            <w:bookmarkStart w:id="2" w:name="_Toc496602600"/>
            <w:r w:rsidRPr="00527E0C">
              <w:t>SCOPE</w:t>
            </w:r>
            <w:bookmarkEnd w:id="2"/>
          </w:p>
        </w:tc>
      </w:tr>
      <w:tr w:rsidR="00A500AF" w:rsidRPr="00527E0C" w:rsidTr="00837CC1">
        <w:tc>
          <w:tcPr>
            <w:tcW w:w="808" w:type="dxa"/>
          </w:tcPr>
          <w:p w:rsidR="00A500AF" w:rsidRPr="00527E0C" w:rsidRDefault="00A500AF" w:rsidP="008048CA">
            <w:pPr>
              <w:rPr>
                <w:b/>
              </w:rPr>
            </w:pPr>
          </w:p>
        </w:tc>
        <w:tc>
          <w:tcPr>
            <w:tcW w:w="8543" w:type="dxa"/>
          </w:tcPr>
          <w:p w:rsidR="00A500AF" w:rsidRPr="00527E0C" w:rsidRDefault="00A500AF" w:rsidP="008048CA">
            <w:pPr>
              <w:rPr>
                <w:b/>
                <w:bCs/>
              </w:rPr>
            </w:pPr>
          </w:p>
        </w:tc>
      </w:tr>
      <w:tr w:rsidR="00A500AF" w:rsidRPr="00527E0C" w:rsidTr="00837CC1">
        <w:tc>
          <w:tcPr>
            <w:tcW w:w="808" w:type="dxa"/>
          </w:tcPr>
          <w:p w:rsidR="00A500AF" w:rsidRPr="00527E0C" w:rsidRDefault="00A500AF" w:rsidP="008048CA">
            <w:pPr>
              <w:rPr>
                <w:b/>
              </w:rPr>
            </w:pPr>
          </w:p>
        </w:tc>
        <w:tc>
          <w:tcPr>
            <w:tcW w:w="8543" w:type="dxa"/>
          </w:tcPr>
          <w:p w:rsidR="00A500AF" w:rsidRPr="00527E0C" w:rsidRDefault="00A500AF" w:rsidP="008048CA">
            <w:pPr>
              <w:rPr>
                <w:b/>
                <w:bCs/>
              </w:rPr>
            </w:pPr>
            <w:r w:rsidRPr="00527E0C">
              <w:t xml:space="preserve">This policy must be followed by all staff who work for or on behalf of the </w:t>
            </w:r>
            <w:r w:rsidR="00287C0B">
              <w:t>Practice</w:t>
            </w:r>
            <w:r w:rsidRPr="00527E0C">
              <w:t xml:space="preserve"> including those on temporary or honorary contracts, secondments, volunteers, pool staff, </w:t>
            </w:r>
            <w:r w:rsidR="008D7C1D" w:rsidRPr="00527E0C">
              <w:t>Governing Body</w:t>
            </w:r>
            <w:r w:rsidRPr="00527E0C">
              <w:t xml:space="preserve"> members, students and any staff working on an individual contractor basis or who are employees for an organisation contracted to provide services to the </w:t>
            </w:r>
            <w:r w:rsidR="00287C0B">
              <w:t>Practice</w:t>
            </w:r>
            <w:r w:rsidRPr="00527E0C">
              <w:t>.  The policy is applicable to all areas of the organisation and adherence should be included in all contracts for outsourced or shared services. There are no exclusions.</w:t>
            </w:r>
          </w:p>
        </w:tc>
      </w:tr>
      <w:tr w:rsidR="00A500AF" w:rsidRPr="00527E0C" w:rsidTr="00837CC1">
        <w:tc>
          <w:tcPr>
            <w:tcW w:w="808" w:type="dxa"/>
          </w:tcPr>
          <w:p w:rsidR="00A500AF" w:rsidRPr="00527E0C" w:rsidRDefault="00A500AF" w:rsidP="008048CA">
            <w:pPr>
              <w:rPr>
                <w:b/>
              </w:rPr>
            </w:pPr>
          </w:p>
        </w:tc>
        <w:tc>
          <w:tcPr>
            <w:tcW w:w="8543" w:type="dxa"/>
          </w:tcPr>
          <w:p w:rsidR="00A500AF" w:rsidRPr="00527E0C" w:rsidRDefault="00A500AF" w:rsidP="008048CA"/>
        </w:tc>
      </w:tr>
      <w:tr w:rsidR="00A500AF" w:rsidRPr="00527E0C" w:rsidTr="00837CC1">
        <w:tc>
          <w:tcPr>
            <w:tcW w:w="808" w:type="dxa"/>
          </w:tcPr>
          <w:p w:rsidR="00A500AF" w:rsidRPr="00527E0C" w:rsidRDefault="00A500AF" w:rsidP="008048CA">
            <w:pPr>
              <w:rPr>
                <w:b/>
              </w:rPr>
            </w:pPr>
          </w:p>
        </w:tc>
        <w:tc>
          <w:tcPr>
            <w:tcW w:w="8543" w:type="dxa"/>
          </w:tcPr>
          <w:p w:rsidR="00A500AF" w:rsidRPr="00527E0C" w:rsidRDefault="00A500AF" w:rsidP="008048CA">
            <w:pPr>
              <w:pStyle w:val="BodyTextIndent"/>
              <w:ind w:left="180" w:hanging="180"/>
              <w:rPr>
                <w:rFonts w:cs="Arial"/>
              </w:rPr>
            </w:pPr>
            <w:r w:rsidRPr="00527E0C">
              <w:rPr>
                <w:rFonts w:cs="Arial"/>
              </w:rPr>
              <w:t>This policy covers:</w:t>
            </w:r>
          </w:p>
          <w:p w:rsidR="00A500AF" w:rsidRPr="00527E0C" w:rsidRDefault="00A500AF" w:rsidP="008048CA">
            <w:pPr>
              <w:pStyle w:val="BodyTextIndent"/>
              <w:ind w:left="180" w:hanging="720"/>
              <w:rPr>
                <w:rFonts w:cs="Arial"/>
              </w:rPr>
            </w:pPr>
            <w:r w:rsidRPr="00527E0C">
              <w:rPr>
                <w:rFonts w:cs="Arial"/>
              </w:rPr>
              <w:t xml:space="preserve"> </w:t>
            </w:r>
          </w:p>
          <w:p w:rsidR="00A500AF" w:rsidRPr="00527E0C" w:rsidRDefault="00A500AF" w:rsidP="00DA5353">
            <w:pPr>
              <w:pStyle w:val="BodyTextIndent"/>
              <w:ind w:left="0"/>
              <w:rPr>
                <w:rFonts w:cs="Arial"/>
              </w:rPr>
            </w:pPr>
            <w:r w:rsidRPr="00527E0C">
              <w:rPr>
                <w:rFonts w:cs="Arial"/>
              </w:rPr>
              <w:t>All aspects of information within the organisation, including (but not limited to):</w:t>
            </w:r>
          </w:p>
          <w:p w:rsidR="00A500AF" w:rsidRPr="00527E0C" w:rsidRDefault="00A500AF" w:rsidP="008048CA">
            <w:pPr>
              <w:pStyle w:val="BodyTextIndent"/>
              <w:numPr>
                <w:ilvl w:val="0"/>
                <w:numId w:val="1"/>
              </w:numPr>
              <w:tabs>
                <w:tab w:val="num" w:pos="1620"/>
              </w:tabs>
              <w:ind w:left="720"/>
              <w:rPr>
                <w:rFonts w:cs="Arial"/>
              </w:rPr>
            </w:pPr>
            <w:r w:rsidRPr="00527E0C">
              <w:rPr>
                <w:rFonts w:cs="Arial"/>
              </w:rPr>
              <w:t>Patient/Client/Service User information</w:t>
            </w:r>
          </w:p>
          <w:p w:rsidR="00A500AF" w:rsidRPr="00527E0C" w:rsidRDefault="00A500AF" w:rsidP="008048CA">
            <w:pPr>
              <w:pStyle w:val="BodyTextIndent"/>
              <w:numPr>
                <w:ilvl w:val="0"/>
                <w:numId w:val="1"/>
              </w:numPr>
              <w:tabs>
                <w:tab w:val="num" w:pos="1620"/>
              </w:tabs>
              <w:ind w:left="720"/>
              <w:rPr>
                <w:rFonts w:cs="Arial"/>
              </w:rPr>
            </w:pPr>
            <w:r w:rsidRPr="00527E0C">
              <w:rPr>
                <w:rFonts w:cs="Arial"/>
              </w:rPr>
              <w:t>Personnel/Staff information</w:t>
            </w:r>
          </w:p>
          <w:p w:rsidR="00A500AF" w:rsidRPr="00527E0C" w:rsidRDefault="00A500AF" w:rsidP="008048CA">
            <w:pPr>
              <w:pStyle w:val="BodyTextIndent"/>
              <w:numPr>
                <w:ilvl w:val="0"/>
                <w:numId w:val="1"/>
              </w:numPr>
              <w:tabs>
                <w:tab w:val="num" w:pos="1620"/>
              </w:tabs>
              <w:ind w:left="720"/>
              <w:rPr>
                <w:rFonts w:cs="Arial"/>
              </w:rPr>
            </w:pPr>
            <w:r w:rsidRPr="00527E0C">
              <w:rPr>
                <w:rFonts w:cs="Arial"/>
              </w:rPr>
              <w:t>Organisational and business sensitive information</w:t>
            </w:r>
          </w:p>
          <w:p w:rsidR="00A500AF" w:rsidRPr="00527E0C" w:rsidRDefault="00A500AF" w:rsidP="008048CA">
            <w:pPr>
              <w:pStyle w:val="BodyTextIndent"/>
              <w:numPr>
                <w:ilvl w:val="0"/>
                <w:numId w:val="1"/>
              </w:numPr>
              <w:ind w:left="720"/>
              <w:rPr>
                <w:rFonts w:cs="Arial"/>
              </w:rPr>
            </w:pPr>
            <w:r w:rsidRPr="00527E0C">
              <w:rPr>
                <w:rFonts w:cs="Arial"/>
              </w:rPr>
              <w:t>Structured and unstructured record systems  - paper and electronic</w:t>
            </w:r>
          </w:p>
          <w:p w:rsidR="00A500AF" w:rsidRPr="00527E0C" w:rsidRDefault="00A500AF" w:rsidP="008048CA">
            <w:pPr>
              <w:pStyle w:val="BodyTextIndent"/>
              <w:numPr>
                <w:ilvl w:val="0"/>
                <w:numId w:val="1"/>
              </w:numPr>
              <w:ind w:left="720"/>
              <w:rPr>
                <w:rFonts w:cs="Arial"/>
              </w:rPr>
            </w:pPr>
            <w:r w:rsidRPr="00527E0C">
              <w:rPr>
                <w:rFonts w:cs="Arial"/>
              </w:rPr>
              <w:lastRenderedPageBreak/>
              <w:t>Photographic images, digital, text or video recordings including CCTV</w:t>
            </w:r>
          </w:p>
          <w:p w:rsidR="00A500AF" w:rsidRPr="00527E0C" w:rsidRDefault="00A500AF" w:rsidP="008048CA">
            <w:pPr>
              <w:pStyle w:val="BodyTextIndent"/>
              <w:numPr>
                <w:ilvl w:val="0"/>
                <w:numId w:val="1"/>
              </w:numPr>
              <w:ind w:left="720"/>
              <w:rPr>
                <w:rFonts w:cs="Arial"/>
              </w:rPr>
            </w:pPr>
            <w:r w:rsidRPr="00527E0C">
              <w:rPr>
                <w:rFonts w:cs="Arial"/>
              </w:rPr>
              <w:t>All information systems purchased, developed and managed by/or on behalf of, the organisation</w:t>
            </w:r>
          </w:p>
          <w:p w:rsidR="00A500AF" w:rsidRPr="00527E0C" w:rsidRDefault="00287C0B" w:rsidP="008048CA">
            <w:pPr>
              <w:pStyle w:val="BodyTextIndent"/>
              <w:numPr>
                <w:ilvl w:val="0"/>
                <w:numId w:val="1"/>
              </w:numPr>
              <w:ind w:left="720"/>
              <w:rPr>
                <w:rFonts w:cs="Arial"/>
              </w:rPr>
            </w:pPr>
            <w:r>
              <w:rPr>
                <w:rFonts w:cs="Arial"/>
              </w:rPr>
              <w:t>Practice</w:t>
            </w:r>
            <w:r w:rsidR="00A500AF" w:rsidRPr="00527E0C">
              <w:rPr>
                <w:rFonts w:cs="Arial"/>
              </w:rPr>
              <w:t xml:space="preserve"> information held on paper</w:t>
            </w:r>
            <w:r w:rsidR="006A3FDB" w:rsidRPr="00527E0C">
              <w:rPr>
                <w:rFonts w:cs="Arial"/>
              </w:rPr>
              <w:t>, mobile storage devices</w:t>
            </w:r>
            <w:r w:rsidR="00A500AF" w:rsidRPr="00527E0C">
              <w:rPr>
                <w:rFonts w:cs="Arial"/>
              </w:rPr>
              <w:t>, computers, laptops, tablets, mobile phones and cameras</w:t>
            </w:r>
          </w:p>
          <w:p w:rsidR="00A500AF" w:rsidRPr="00527E0C" w:rsidRDefault="00A500AF" w:rsidP="008048CA">
            <w:pPr>
              <w:pStyle w:val="BodyTextIndent"/>
              <w:ind w:left="1080"/>
              <w:rPr>
                <w:rFonts w:cs="Arial"/>
              </w:rPr>
            </w:pPr>
          </w:p>
          <w:p w:rsidR="00A500AF" w:rsidRPr="00527E0C" w:rsidRDefault="00A500AF" w:rsidP="00DA5353">
            <w:pPr>
              <w:pStyle w:val="BodyTextIndent"/>
              <w:ind w:left="0"/>
              <w:rPr>
                <w:rFonts w:cs="Arial"/>
              </w:rPr>
            </w:pPr>
            <w:r w:rsidRPr="00527E0C">
              <w:rPr>
                <w:rFonts w:cs="Arial"/>
              </w:rPr>
              <w:t>The processing of all types of information, including (but not limited to):</w:t>
            </w:r>
          </w:p>
          <w:p w:rsidR="00A500AF" w:rsidRPr="00527E0C" w:rsidRDefault="00A500AF" w:rsidP="008048CA">
            <w:pPr>
              <w:pStyle w:val="BodyTextIndent"/>
              <w:ind w:left="360"/>
              <w:rPr>
                <w:rFonts w:cs="Arial"/>
              </w:rPr>
            </w:pPr>
          </w:p>
          <w:p w:rsidR="006A3FDB" w:rsidRPr="00527E0C" w:rsidRDefault="006A3FDB" w:rsidP="008048CA">
            <w:pPr>
              <w:pStyle w:val="BodyTextIndent"/>
              <w:numPr>
                <w:ilvl w:val="0"/>
                <w:numId w:val="1"/>
              </w:numPr>
              <w:ind w:left="720"/>
              <w:rPr>
                <w:rFonts w:cs="Arial"/>
              </w:rPr>
            </w:pPr>
            <w:r w:rsidRPr="00527E0C">
              <w:rPr>
                <w:rFonts w:cs="Arial"/>
              </w:rPr>
              <w:t>Organisation, adoption or alteration of information</w:t>
            </w:r>
          </w:p>
          <w:p w:rsidR="006A3FDB" w:rsidRPr="00527E0C" w:rsidRDefault="006A3FDB" w:rsidP="008048CA">
            <w:pPr>
              <w:pStyle w:val="BodyTextIndent"/>
              <w:numPr>
                <w:ilvl w:val="0"/>
                <w:numId w:val="1"/>
              </w:numPr>
              <w:ind w:left="720"/>
              <w:rPr>
                <w:rFonts w:cs="Arial"/>
              </w:rPr>
            </w:pPr>
            <w:r w:rsidRPr="00527E0C">
              <w:rPr>
                <w:rFonts w:cs="Arial"/>
              </w:rPr>
              <w:t>Retrieval, consultation, storage/retention or use of information</w:t>
            </w:r>
          </w:p>
          <w:p w:rsidR="006A3FDB" w:rsidRPr="00527E0C" w:rsidRDefault="006A3FDB" w:rsidP="008048CA">
            <w:pPr>
              <w:pStyle w:val="BodyTextIndent"/>
              <w:numPr>
                <w:ilvl w:val="0"/>
                <w:numId w:val="1"/>
              </w:numPr>
              <w:ind w:left="720"/>
              <w:rPr>
                <w:rFonts w:cs="Arial"/>
              </w:rPr>
            </w:pPr>
            <w:r w:rsidRPr="00527E0C">
              <w:rPr>
                <w:rFonts w:cs="Arial"/>
              </w:rPr>
              <w:t>Disclosure, dissemination or otherwise making available information for clinical, operational or legal reasons</w:t>
            </w:r>
          </w:p>
          <w:p w:rsidR="006A3FDB" w:rsidRPr="00527E0C" w:rsidRDefault="006A3FDB" w:rsidP="008048CA">
            <w:pPr>
              <w:pStyle w:val="BodyTextIndent"/>
              <w:numPr>
                <w:ilvl w:val="0"/>
                <w:numId w:val="1"/>
              </w:numPr>
              <w:ind w:left="720"/>
              <w:rPr>
                <w:rFonts w:cs="Arial"/>
              </w:rPr>
            </w:pPr>
            <w:r w:rsidRPr="00527E0C">
              <w:rPr>
                <w:rFonts w:cs="Arial"/>
              </w:rPr>
              <w:t>Alignment, combination/linkage, blocking, erasing or destruction of information</w:t>
            </w:r>
          </w:p>
          <w:p w:rsidR="00A500AF" w:rsidRPr="00527E0C" w:rsidRDefault="00A500AF" w:rsidP="008048CA">
            <w:pPr>
              <w:pStyle w:val="BodyTextIndent"/>
              <w:ind w:left="540"/>
              <w:rPr>
                <w:rFonts w:cs="Arial"/>
              </w:rPr>
            </w:pPr>
          </w:p>
        </w:tc>
      </w:tr>
      <w:tr w:rsidR="00A07CCC" w:rsidRPr="00527E0C" w:rsidTr="00837CC1">
        <w:tc>
          <w:tcPr>
            <w:tcW w:w="808" w:type="dxa"/>
          </w:tcPr>
          <w:p w:rsidR="00A07CCC" w:rsidRPr="00527E0C" w:rsidRDefault="00A07CCC" w:rsidP="008048CA">
            <w:pPr>
              <w:rPr>
                <w:b/>
              </w:rPr>
            </w:pPr>
          </w:p>
        </w:tc>
        <w:tc>
          <w:tcPr>
            <w:tcW w:w="8543" w:type="dxa"/>
          </w:tcPr>
          <w:p w:rsidR="00A07CCC" w:rsidRPr="00527E0C" w:rsidRDefault="00A07CCC" w:rsidP="00311A76">
            <w:pPr>
              <w:pStyle w:val="BodyTextIndent"/>
              <w:ind w:left="0"/>
              <w:rPr>
                <w:rFonts w:cs="Arial"/>
              </w:rPr>
            </w:pPr>
            <w:r w:rsidRPr="00527E0C">
              <w:rPr>
                <w:rFonts w:cs="Arial"/>
              </w:rPr>
              <w:t xml:space="preserve">Confidentiality and </w:t>
            </w:r>
            <w:r w:rsidR="00BC30AC" w:rsidRPr="00527E0C">
              <w:rPr>
                <w:rFonts w:cs="Arial"/>
              </w:rPr>
              <w:t>d</w:t>
            </w:r>
            <w:r w:rsidRPr="00527E0C">
              <w:rPr>
                <w:rFonts w:cs="Arial"/>
              </w:rPr>
              <w:t xml:space="preserve">ata </w:t>
            </w:r>
            <w:r w:rsidR="002F4834" w:rsidRPr="00527E0C">
              <w:rPr>
                <w:rFonts w:cs="Arial"/>
              </w:rPr>
              <w:t>p</w:t>
            </w:r>
            <w:r w:rsidRPr="00527E0C">
              <w:rPr>
                <w:rFonts w:cs="Arial"/>
              </w:rPr>
              <w:t xml:space="preserve">rotection within </w:t>
            </w:r>
            <w:r w:rsidR="00311A76">
              <w:rPr>
                <w:rFonts w:cs="Arial"/>
              </w:rPr>
              <w:t>the practice</w:t>
            </w:r>
            <w:r w:rsidRPr="00527E0C">
              <w:rPr>
                <w:rFonts w:cs="Arial"/>
              </w:rPr>
              <w:t xml:space="preserve"> is the responsibility of the </w:t>
            </w:r>
            <w:r w:rsidR="008048CA" w:rsidRPr="00527E0C">
              <w:rPr>
                <w:rFonts w:cs="Arial"/>
              </w:rPr>
              <w:t>data controller (</w:t>
            </w:r>
            <w:r w:rsidRPr="00527E0C">
              <w:rPr>
                <w:rFonts w:cs="Arial"/>
              </w:rPr>
              <w:t>owner/partners</w:t>
            </w:r>
            <w:r w:rsidR="008048CA" w:rsidRPr="00527E0C">
              <w:rPr>
                <w:rFonts w:cs="Arial"/>
              </w:rPr>
              <w:t>)</w:t>
            </w:r>
            <w:r w:rsidRPr="00527E0C">
              <w:rPr>
                <w:rFonts w:cs="Arial"/>
              </w:rPr>
              <w:t xml:space="preserve">.  </w:t>
            </w:r>
          </w:p>
        </w:tc>
      </w:tr>
      <w:tr w:rsidR="00A07CCC" w:rsidRPr="00527E0C" w:rsidTr="00837CC1">
        <w:tc>
          <w:tcPr>
            <w:tcW w:w="808" w:type="dxa"/>
          </w:tcPr>
          <w:p w:rsidR="00A07CCC" w:rsidRPr="00527E0C" w:rsidRDefault="00A07CCC" w:rsidP="008048CA">
            <w:pPr>
              <w:rPr>
                <w:b/>
              </w:rPr>
            </w:pPr>
          </w:p>
        </w:tc>
        <w:tc>
          <w:tcPr>
            <w:tcW w:w="8543" w:type="dxa"/>
          </w:tcPr>
          <w:p w:rsidR="00A07CCC" w:rsidRPr="00527E0C" w:rsidRDefault="00A07CCC" w:rsidP="008048CA">
            <w:pPr>
              <w:pStyle w:val="BodyTextIndent"/>
              <w:ind w:left="0"/>
              <w:rPr>
                <w:rFonts w:cs="Arial"/>
              </w:rPr>
            </w:pPr>
          </w:p>
        </w:tc>
      </w:tr>
      <w:tr w:rsidR="00A07CCC" w:rsidRPr="00527E0C" w:rsidTr="00837CC1">
        <w:tc>
          <w:tcPr>
            <w:tcW w:w="808" w:type="dxa"/>
          </w:tcPr>
          <w:p w:rsidR="00A07CCC" w:rsidRPr="00527E0C" w:rsidRDefault="00A07CCC" w:rsidP="008048CA">
            <w:pPr>
              <w:rPr>
                <w:b/>
              </w:rPr>
            </w:pPr>
          </w:p>
        </w:tc>
        <w:tc>
          <w:tcPr>
            <w:tcW w:w="8543" w:type="dxa"/>
          </w:tcPr>
          <w:p w:rsidR="00A07CCC" w:rsidRPr="00527E0C" w:rsidRDefault="00A07CCC" w:rsidP="008048CA">
            <w:pPr>
              <w:pStyle w:val="BodyTextIndent"/>
              <w:ind w:left="0"/>
              <w:rPr>
                <w:rFonts w:cs="Arial"/>
              </w:rPr>
            </w:pPr>
            <w:r w:rsidRPr="00527E0C">
              <w:rPr>
                <w:rFonts w:cs="Arial"/>
              </w:rPr>
              <w:t xml:space="preserve">The </w:t>
            </w:r>
            <w:r w:rsidR="00287C0B">
              <w:rPr>
                <w:rFonts w:cs="Arial"/>
              </w:rPr>
              <w:t>Practice</w:t>
            </w:r>
            <w:r w:rsidRPr="00527E0C">
              <w:rPr>
                <w:rFonts w:cs="Arial"/>
              </w:rPr>
              <w:t xml:space="preserve"> recognise the changes introduced to information management as a result of the Health and Social Care Act 2012 </w:t>
            </w:r>
            <w:r w:rsidR="00E6304E" w:rsidRPr="00527E0C">
              <w:rPr>
                <w:rFonts w:cs="Arial"/>
              </w:rPr>
              <w:t xml:space="preserve">and Health and Social Care (Safety and Quality) Act 2015 </w:t>
            </w:r>
            <w:r w:rsidRPr="00527E0C">
              <w:rPr>
                <w:rFonts w:cs="Arial"/>
              </w:rPr>
              <w:t xml:space="preserve">and will work with national bodies and partners to ensure the continuing safe use of information to support services and clinical care.  </w:t>
            </w:r>
          </w:p>
        </w:tc>
      </w:tr>
      <w:tr w:rsidR="00A07CCC" w:rsidRPr="00527E0C" w:rsidTr="00837CC1">
        <w:tc>
          <w:tcPr>
            <w:tcW w:w="808" w:type="dxa"/>
          </w:tcPr>
          <w:p w:rsidR="00A07CCC" w:rsidRPr="00527E0C" w:rsidRDefault="00A07CCC" w:rsidP="008048CA">
            <w:pPr>
              <w:rPr>
                <w:b/>
              </w:rPr>
            </w:pPr>
          </w:p>
        </w:tc>
        <w:tc>
          <w:tcPr>
            <w:tcW w:w="8543" w:type="dxa"/>
          </w:tcPr>
          <w:p w:rsidR="00A07CCC" w:rsidRPr="00527E0C" w:rsidRDefault="00A07CCC" w:rsidP="008048CA">
            <w:pPr>
              <w:pStyle w:val="BodyTextIndent"/>
              <w:ind w:left="0"/>
              <w:rPr>
                <w:rFonts w:cs="Arial"/>
              </w:rPr>
            </w:pPr>
          </w:p>
        </w:tc>
      </w:tr>
      <w:tr w:rsidR="00A07CCC" w:rsidRPr="00527E0C" w:rsidTr="00837CC1">
        <w:tc>
          <w:tcPr>
            <w:tcW w:w="808" w:type="dxa"/>
          </w:tcPr>
          <w:p w:rsidR="00A07CCC" w:rsidRPr="00527E0C" w:rsidRDefault="00A07CCC" w:rsidP="008048CA">
            <w:pPr>
              <w:rPr>
                <w:b/>
              </w:rPr>
            </w:pPr>
          </w:p>
        </w:tc>
        <w:tc>
          <w:tcPr>
            <w:tcW w:w="8543" w:type="dxa"/>
          </w:tcPr>
          <w:p w:rsidR="00A07CCC" w:rsidRPr="00527E0C" w:rsidRDefault="00A07CCC" w:rsidP="008048CA">
            <w:pPr>
              <w:pStyle w:val="BodyTextIndent"/>
              <w:ind w:left="0"/>
              <w:rPr>
                <w:rFonts w:cs="Arial"/>
              </w:rPr>
            </w:pPr>
            <w:r w:rsidRPr="00527E0C">
              <w:rPr>
                <w:rFonts w:cs="Arial"/>
              </w:rPr>
              <w:t xml:space="preserve">Failure to adhere to this </w:t>
            </w:r>
            <w:r w:rsidR="00BC30AC" w:rsidRPr="00527E0C">
              <w:rPr>
                <w:rFonts w:cs="Arial"/>
              </w:rPr>
              <w:t>p</w:t>
            </w:r>
            <w:r w:rsidRPr="00527E0C">
              <w:rPr>
                <w:rFonts w:cs="Arial"/>
              </w:rPr>
              <w:t>olicy may result in disciplinary action and</w:t>
            </w:r>
            <w:r w:rsidR="0083048B" w:rsidRPr="00527E0C">
              <w:rPr>
                <w:rFonts w:cs="Arial"/>
              </w:rPr>
              <w:t xml:space="preserve"> </w:t>
            </w:r>
            <w:r w:rsidR="00300ACE" w:rsidRPr="00527E0C">
              <w:rPr>
                <w:rFonts w:cs="Arial"/>
              </w:rPr>
              <w:t>where necessary</w:t>
            </w:r>
            <w:r w:rsidRPr="00527E0C">
              <w:rPr>
                <w:rFonts w:cs="Arial"/>
              </w:rPr>
              <w:t xml:space="preserve"> referral to the appropriate regulatory bodies including the police and professional bodies.</w:t>
            </w:r>
          </w:p>
        </w:tc>
      </w:tr>
      <w:tr w:rsidR="00A07CCC" w:rsidRPr="00527E0C" w:rsidTr="00837CC1">
        <w:tc>
          <w:tcPr>
            <w:tcW w:w="808" w:type="dxa"/>
          </w:tcPr>
          <w:p w:rsidR="00A07CCC" w:rsidRPr="00527E0C" w:rsidRDefault="00A07CCC" w:rsidP="008048CA">
            <w:pPr>
              <w:rPr>
                <w:b/>
              </w:rPr>
            </w:pPr>
          </w:p>
        </w:tc>
        <w:tc>
          <w:tcPr>
            <w:tcW w:w="8543" w:type="dxa"/>
          </w:tcPr>
          <w:p w:rsidR="00A07CCC" w:rsidRPr="00527E0C" w:rsidRDefault="00A07CCC" w:rsidP="008048CA">
            <w:pPr>
              <w:pStyle w:val="BodyTextIndent"/>
              <w:ind w:left="0"/>
              <w:rPr>
                <w:rFonts w:cs="Arial"/>
              </w:rPr>
            </w:pPr>
          </w:p>
        </w:tc>
      </w:tr>
      <w:tr w:rsidR="00E346EB" w:rsidRPr="00527E0C" w:rsidTr="00837CC1">
        <w:tc>
          <w:tcPr>
            <w:tcW w:w="9351" w:type="dxa"/>
            <w:gridSpan w:val="2"/>
          </w:tcPr>
          <w:p w:rsidR="00E346EB" w:rsidRPr="00527E0C" w:rsidRDefault="00E346EB" w:rsidP="00512755">
            <w:pPr>
              <w:pStyle w:val="Heading1"/>
              <w:numPr>
                <w:ilvl w:val="0"/>
                <w:numId w:val="22"/>
              </w:numPr>
            </w:pPr>
            <w:bookmarkStart w:id="3" w:name="_Toc496602601"/>
            <w:r w:rsidRPr="00527E0C">
              <w:t>ACCOUNTABILITY AND RESPONSIBILITIES</w:t>
            </w:r>
            <w:bookmarkEnd w:id="3"/>
          </w:p>
        </w:tc>
      </w:tr>
      <w:tr w:rsidR="00A07CCC" w:rsidRPr="00527E0C" w:rsidTr="00837CC1">
        <w:tc>
          <w:tcPr>
            <w:tcW w:w="808" w:type="dxa"/>
          </w:tcPr>
          <w:p w:rsidR="00A07CCC" w:rsidRPr="00527E0C" w:rsidRDefault="00A07CCC" w:rsidP="008048CA">
            <w:pPr>
              <w:rPr>
                <w:b/>
                <w:bCs/>
              </w:rPr>
            </w:pPr>
          </w:p>
        </w:tc>
        <w:tc>
          <w:tcPr>
            <w:tcW w:w="8543" w:type="dxa"/>
          </w:tcPr>
          <w:p w:rsidR="00A07CCC" w:rsidRPr="00527E0C" w:rsidRDefault="00A07CCC" w:rsidP="008048CA">
            <w:pPr>
              <w:pStyle w:val="BodyTextIndent"/>
              <w:ind w:left="0"/>
              <w:rPr>
                <w:rFonts w:cs="Arial"/>
                <w:b/>
                <w:bCs/>
              </w:rPr>
            </w:pPr>
          </w:p>
        </w:tc>
      </w:tr>
      <w:tr w:rsidR="00A07CCC" w:rsidRPr="00527E0C" w:rsidTr="00837CC1">
        <w:tc>
          <w:tcPr>
            <w:tcW w:w="808" w:type="dxa"/>
          </w:tcPr>
          <w:p w:rsidR="00A07CCC" w:rsidRPr="00527E0C" w:rsidRDefault="00A07CCC" w:rsidP="008048CA">
            <w:pPr>
              <w:rPr>
                <w:b/>
                <w:bCs/>
              </w:rPr>
            </w:pPr>
          </w:p>
        </w:tc>
        <w:tc>
          <w:tcPr>
            <w:tcW w:w="8543" w:type="dxa"/>
          </w:tcPr>
          <w:p w:rsidR="00A07CCC" w:rsidRDefault="00A07CCC" w:rsidP="008048CA">
            <w:pPr>
              <w:pStyle w:val="BodyTextIndent"/>
              <w:ind w:left="0"/>
              <w:rPr>
                <w:rFonts w:cs="Arial"/>
                <w:bCs/>
              </w:rPr>
            </w:pPr>
            <w:r w:rsidRPr="00527E0C">
              <w:rPr>
                <w:rFonts w:cs="Arial"/>
                <w:bCs/>
              </w:rPr>
              <w:t xml:space="preserve">There are a number of key </w:t>
            </w:r>
            <w:r w:rsidR="00BC30AC" w:rsidRPr="00527E0C">
              <w:rPr>
                <w:rFonts w:cs="Arial"/>
                <w:bCs/>
              </w:rPr>
              <w:t>i</w:t>
            </w:r>
            <w:r w:rsidRPr="00527E0C">
              <w:rPr>
                <w:rFonts w:cs="Arial"/>
                <w:bCs/>
              </w:rPr>
              <w:t xml:space="preserve">nformation </w:t>
            </w:r>
            <w:r w:rsidR="00BC30AC" w:rsidRPr="00527E0C">
              <w:rPr>
                <w:rFonts w:cs="Arial"/>
                <w:bCs/>
              </w:rPr>
              <w:t>g</w:t>
            </w:r>
            <w:r w:rsidRPr="00527E0C">
              <w:rPr>
                <w:rFonts w:cs="Arial"/>
                <w:bCs/>
              </w:rPr>
              <w:t xml:space="preserve">overnance roles and bodies that the </w:t>
            </w:r>
            <w:r w:rsidR="00287C0B">
              <w:rPr>
                <w:rFonts w:cs="Arial"/>
                <w:bCs/>
              </w:rPr>
              <w:t>Practice</w:t>
            </w:r>
            <w:r w:rsidRPr="00527E0C">
              <w:rPr>
                <w:rFonts w:cs="Arial"/>
                <w:bCs/>
              </w:rPr>
              <w:t xml:space="preserve"> needs to have in place as part of its Information Governance Framework, these are:</w:t>
            </w:r>
          </w:p>
          <w:p w:rsidR="00311A76" w:rsidRPr="00527E0C" w:rsidRDefault="00311A76" w:rsidP="008048CA">
            <w:pPr>
              <w:pStyle w:val="BodyTextIndent"/>
              <w:ind w:left="0"/>
              <w:rPr>
                <w:rFonts w:cs="Arial"/>
                <w:bCs/>
              </w:rPr>
            </w:pPr>
          </w:p>
          <w:p w:rsidR="00B96BAB" w:rsidRDefault="00B96BAB" w:rsidP="00311A76">
            <w:pPr>
              <w:pStyle w:val="BodyTextIndent"/>
              <w:numPr>
                <w:ilvl w:val="0"/>
                <w:numId w:val="12"/>
              </w:numPr>
              <w:ind w:left="720"/>
              <w:rPr>
                <w:bCs/>
              </w:rPr>
            </w:pPr>
            <w:r>
              <w:rPr>
                <w:bCs/>
              </w:rPr>
              <w:t>SIRO</w:t>
            </w:r>
          </w:p>
          <w:p w:rsidR="00311A76" w:rsidRPr="00BA2C6D" w:rsidRDefault="00311A76" w:rsidP="00311A76">
            <w:pPr>
              <w:pStyle w:val="BodyTextIndent"/>
              <w:numPr>
                <w:ilvl w:val="0"/>
                <w:numId w:val="12"/>
              </w:numPr>
              <w:ind w:left="720"/>
              <w:rPr>
                <w:bCs/>
              </w:rPr>
            </w:pPr>
            <w:r w:rsidRPr="00BA2C6D">
              <w:rPr>
                <w:bCs/>
              </w:rPr>
              <w:t xml:space="preserve">Governing </w:t>
            </w:r>
            <w:r>
              <w:rPr>
                <w:bCs/>
              </w:rPr>
              <w:t>B</w:t>
            </w:r>
            <w:r w:rsidRPr="00BA2C6D">
              <w:rPr>
                <w:bCs/>
              </w:rPr>
              <w:t>ody</w:t>
            </w:r>
          </w:p>
          <w:p w:rsidR="00311A76" w:rsidRPr="00BA2C6D" w:rsidRDefault="00311A76" w:rsidP="00311A76">
            <w:pPr>
              <w:pStyle w:val="BodyTextIndent"/>
              <w:numPr>
                <w:ilvl w:val="0"/>
                <w:numId w:val="12"/>
              </w:numPr>
              <w:ind w:left="720"/>
              <w:rPr>
                <w:bCs/>
              </w:rPr>
            </w:pPr>
            <w:r>
              <w:rPr>
                <w:rFonts w:cs="Arial"/>
              </w:rPr>
              <w:t>Governance, Performance and Risk Committee</w:t>
            </w:r>
          </w:p>
          <w:p w:rsidR="00311A76" w:rsidRPr="00BA2C6D" w:rsidRDefault="00311A76" w:rsidP="00311A76">
            <w:pPr>
              <w:pStyle w:val="BodyTextIndent"/>
              <w:numPr>
                <w:ilvl w:val="0"/>
                <w:numId w:val="12"/>
              </w:numPr>
              <w:ind w:left="720"/>
              <w:rPr>
                <w:bCs/>
              </w:rPr>
            </w:pPr>
            <w:r w:rsidRPr="00BA2C6D">
              <w:rPr>
                <w:bCs/>
              </w:rPr>
              <w:t>Caldicott Guardian</w:t>
            </w:r>
          </w:p>
          <w:p w:rsidR="00311A76" w:rsidRPr="003E5183" w:rsidRDefault="00311A76" w:rsidP="00311A76">
            <w:pPr>
              <w:pStyle w:val="BodyTextIndent"/>
              <w:numPr>
                <w:ilvl w:val="0"/>
                <w:numId w:val="12"/>
              </w:numPr>
              <w:ind w:left="720"/>
              <w:rPr>
                <w:bCs/>
              </w:rPr>
            </w:pPr>
            <w:r w:rsidRPr="00BA2C6D">
              <w:rPr>
                <w:bCs/>
              </w:rPr>
              <w:t>Information Asset Owner</w:t>
            </w:r>
            <w:r>
              <w:rPr>
                <w:bCs/>
              </w:rPr>
              <w:t>/</w:t>
            </w:r>
            <w:r w:rsidRPr="003E5183">
              <w:rPr>
                <w:bCs/>
              </w:rPr>
              <w:t>Administrator</w:t>
            </w:r>
          </w:p>
          <w:p w:rsidR="00311A76" w:rsidRPr="00BA2C6D" w:rsidRDefault="00311A76" w:rsidP="00311A76">
            <w:pPr>
              <w:pStyle w:val="BodyTextIndent"/>
              <w:numPr>
                <w:ilvl w:val="0"/>
                <w:numId w:val="12"/>
              </w:numPr>
              <w:ind w:left="720"/>
              <w:rPr>
                <w:bCs/>
              </w:rPr>
            </w:pPr>
            <w:r w:rsidRPr="00BA2C6D">
              <w:rPr>
                <w:bCs/>
              </w:rPr>
              <w:t>Heads of Service</w:t>
            </w:r>
            <w:r>
              <w:rPr>
                <w:bCs/>
              </w:rPr>
              <w:t>/department</w:t>
            </w:r>
          </w:p>
          <w:p w:rsidR="00311A76" w:rsidRPr="00BA2C6D" w:rsidRDefault="00311A76" w:rsidP="00311A76">
            <w:pPr>
              <w:pStyle w:val="BodyTextIndent"/>
              <w:numPr>
                <w:ilvl w:val="0"/>
                <w:numId w:val="12"/>
              </w:numPr>
              <w:ind w:left="720"/>
              <w:rPr>
                <w:bCs/>
              </w:rPr>
            </w:pPr>
            <w:r w:rsidRPr="00BA2C6D">
              <w:rPr>
                <w:bCs/>
              </w:rPr>
              <w:t>All employees</w:t>
            </w:r>
          </w:p>
          <w:p w:rsidR="00A07CCC" w:rsidRPr="00527E0C" w:rsidRDefault="00A07CCC" w:rsidP="008048CA">
            <w:pPr>
              <w:pStyle w:val="BodyTextIndent"/>
              <w:ind w:left="540" w:hanging="540"/>
              <w:rPr>
                <w:rFonts w:cs="Arial"/>
                <w:b/>
                <w:bCs/>
              </w:rPr>
            </w:pPr>
          </w:p>
          <w:p w:rsidR="00A07CCC" w:rsidRDefault="00A07CCC" w:rsidP="008048CA">
            <w:pPr>
              <w:pStyle w:val="BodyTextIndent"/>
              <w:ind w:left="0"/>
              <w:rPr>
                <w:rFonts w:cs="Arial"/>
                <w:bCs/>
              </w:rPr>
            </w:pPr>
            <w:r w:rsidRPr="00527E0C">
              <w:rPr>
                <w:rFonts w:cs="Arial"/>
                <w:bCs/>
              </w:rPr>
              <w:t>The accountability and responsibility are set out in more detail in the Information Governance Strateg</w:t>
            </w:r>
            <w:r w:rsidR="00B23BB5" w:rsidRPr="00527E0C">
              <w:rPr>
                <w:rFonts w:cs="Arial"/>
                <w:bCs/>
              </w:rPr>
              <w:t xml:space="preserve">y and </w:t>
            </w:r>
            <w:r w:rsidRPr="00527E0C">
              <w:rPr>
                <w:rFonts w:cs="Arial"/>
                <w:bCs/>
              </w:rPr>
              <w:t>Vision</w:t>
            </w:r>
            <w:r w:rsidR="00E27B4E" w:rsidRPr="00527E0C">
              <w:rPr>
                <w:rFonts w:cs="Arial"/>
                <w:bCs/>
              </w:rPr>
              <w:t>,</w:t>
            </w:r>
            <w:r w:rsidRPr="00527E0C">
              <w:rPr>
                <w:rFonts w:cs="Arial"/>
                <w:bCs/>
              </w:rPr>
              <w:t xml:space="preserve"> Policy and </w:t>
            </w:r>
            <w:r w:rsidR="00B23BB5" w:rsidRPr="00527E0C">
              <w:rPr>
                <w:rFonts w:cs="Arial"/>
                <w:bCs/>
              </w:rPr>
              <w:t xml:space="preserve">Management </w:t>
            </w:r>
            <w:r w:rsidRPr="00527E0C">
              <w:rPr>
                <w:rFonts w:cs="Arial"/>
                <w:bCs/>
              </w:rPr>
              <w:t>Framework which must be read in conjunction with this policy.</w:t>
            </w:r>
          </w:p>
          <w:p w:rsidR="00311A76" w:rsidRDefault="00311A76" w:rsidP="008048CA">
            <w:pPr>
              <w:pStyle w:val="BodyTextIndent"/>
              <w:ind w:left="0"/>
              <w:rPr>
                <w:rFonts w:cs="Arial"/>
                <w:bCs/>
              </w:rPr>
            </w:pPr>
          </w:p>
          <w:p w:rsidR="00A07CCC" w:rsidRPr="00527E0C" w:rsidRDefault="00A07CCC" w:rsidP="00311A76">
            <w:pPr>
              <w:pStyle w:val="BodyTextIndent"/>
              <w:ind w:left="0"/>
              <w:rPr>
                <w:rFonts w:cs="Arial"/>
                <w:b/>
                <w:bCs/>
              </w:rPr>
            </w:pPr>
          </w:p>
        </w:tc>
      </w:tr>
      <w:tr w:rsidR="00E346EB" w:rsidRPr="00527E0C" w:rsidTr="00837CC1">
        <w:tc>
          <w:tcPr>
            <w:tcW w:w="9351" w:type="dxa"/>
            <w:gridSpan w:val="2"/>
          </w:tcPr>
          <w:p w:rsidR="00E346EB" w:rsidRPr="00527E0C" w:rsidRDefault="00E346EB" w:rsidP="00512755">
            <w:pPr>
              <w:pStyle w:val="Heading1"/>
              <w:numPr>
                <w:ilvl w:val="0"/>
                <w:numId w:val="22"/>
              </w:numPr>
            </w:pPr>
            <w:bookmarkStart w:id="4" w:name="_Toc496602602"/>
            <w:r w:rsidRPr="00527E0C">
              <w:t>DEFINITION OF TERMS</w:t>
            </w:r>
            <w:bookmarkEnd w:id="4"/>
          </w:p>
        </w:tc>
      </w:tr>
      <w:tr w:rsidR="00A07CCC" w:rsidRPr="00527E0C" w:rsidTr="00837CC1">
        <w:tc>
          <w:tcPr>
            <w:tcW w:w="808" w:type="dxa"/>
          </w:tcPr>
          <w:p w:rsidR="00A07CCC" w:rsidRPr="00527E0C" w:rsidRDefault="00A07CCC" w:rsidP="008048CA">
            <w:pPr>
              <w:rPr>
                <w:b/>
                <w:bCs/>
              </w:rPr>
            </w:pPr>
          </w:p>
        </w:tc>
        <w:tc>
          <w:tcPr>
            <w:tcW w:w="8543" w:type="dxa"/>
          </w:tcPr>
          <w:p w:rsidR="00A07CCC" w:rsidRPr="00527E0C" w:rsidRDefault="00A07CCC" w:rsidP="008048CA">
            <w:pPr>
              <w:pStyle w:val="BodyTextIndent"/>
              <w:ind w:left="540" w:hanging="540"/>
              <w:rPr>
                <w:rFonts w:cs="Arial"/>
                <w:b/>
              </w:rPr>
            </w:pPr>
          </w:p>
        </w:tc>
      </w:tr>
      <w:tr w:rsidR="00A07CCC" w:rsidRPr="00527E0C" w:rsidTr="00837CC1">
        <w:tc>
          <w:tcPr>
            <w:tcW w:w="808" w:type="dxa"/>
          </w:tcPr>
          <w:p w:rsidR="00A07CCC" w:rsidRPr="00527E0C" w:rsidRDefault="00A07CCC" w:rsidP="008048CA">
            <w:pPr>
              <w:rPr>
                <w:b/>
                <w:bCs/>
              </w:rPr>
            </w:pPr>
          </w:p>
        </w:tc>
        <w:tc>
          <w:tcPr>
            <w:tcW w:w="8543" w:type="dxa"/>
          </w:tcPr>
          <w:p w:rsidR="00A07CCC" w:rsidRPr="00527E0C" w:rsidRDefault="00A07CCC" w:rsidP="008048CA">
            <w:pPr>
              <w:pStyle w:val="BodyTextIndent"/>
              <w:ind w:left="0"/>
              <w:rPr>
                <w:rFonts w:cs="Arial"/>
                <w:b/>
              </w:rPr>
            </w:pPr>
            <w:r w:rsidRPr="00527E0C">
              <w:rPr>
                <w:rFonts w:cs="Arial"/>
              </w:rPr>
              <w:t>The words used in this policy are used in their ordinary sense and technical terms have been avoided.</w:t>
            </w:r>
          </w:p>
        </w:tc>
      </w:tr>
      <w:tr w:rsidR="00A07CCC" w:rsidRPr="00527E0C" w:rsidTr="00837CC1">
        <w:tc>
          <w:tcPr>
            <w:tcW w:w="808" w:type="dxa"/>
          </w:tcPr>
          <w:p w:rsidR="00A07CCC" w:rsidRPr="00527E0C" w:rsidRDefault="00A07CCC" w:rsidP="008048CA">
            <w:pPr>
              <w:rPr>
                <w:b/>
                <w:bCs/>
              </w:rPr>
            </w:pPr>
          </w:p>
        </w:tc>
        <w:tc>
          <w:tcPr>
            <w:tcW w:w="8543" w:type="dxa"/>
          </w:tcPr>
          <w:p w:rsidR="00A07CCC" w:rsidRPr="00527E0C" w:rsidRDefault="00A07CCC" w:rsidP="008048CA">
            <w:pPr>
              <w:pStyle w:val="BodyTextIndent"/>
              <w:ind w:left="0"/>
              <w:rPr>
                <w:rFonts w:cs="Arial"/>
              </w:rPr>
            </w:pPr>
          </w:p>
        </w:tc>
      </w:tr>
      <w:tr w:rsidR="00E346EB" w:rsidRPr="00527E0C" w:rsidTr="00837CC1">
        <w:tc>
          <w:tcPr>
            <w:tcW w:w="9351" w:type="dxa"/>
            <w:gridSpan w:val="2"/>
          </w:tcPr>
          <w:p w:rsidR="00E346EB" w:rsidRPr="00527E0C" w:rsidRDefault="00E346EB" w:rsidP="000D2308">
            <w:pPr>
              <w:pStyle w:val="Heading3"/>
            </w:pPr>
            <w:r w:rsidRPr="00527E0C">
              <w:tab/>
            </w:r>
            <w:bookmarkStart w:id="5" w:name="_Toc496602603"/>
            <w:r w:rsidRPr="00527E0C">
              <w:t xml:space="preserve">5.1 Personal </w:t>
            </w:r>
            <w:r w:rsidR="000D2308" w:rsidRPr="00527E0C">
              <w:t>d</w:t>
            </w:r>
            <w:r w:rsidRPr="00527E0C">
              <w:t>ata</w:t>
            </w:r>
            <w:bookmarkEnd w:id="5"/>
          </w:p>
        </w:tc>
      </w:tr>
      <w:tr w:rsidR="00A07CCC" w:rsidRPr="00527E0C" w:rsidTr="00837CC1">
        <w:tc>
          <w:tcPr>
            <w:tcW w:w="808" w:type="dxa"/>
          </w:tcPr>
          <w:p w:rsidR="00A07CCC" w:rsidRPr="00527E0C" w:rsidRDefault="00A07CCC" w:rsidP="008048CA">
            <w:pPr>
              <w:rPr>
                <w:b/>
              </w:rPr>
            </w:pPr>
          </w:p>
        </w:tc>
        <w:tc>
          <w:tcPr>
            <w:tcW w:w="8543" w:type="dxa"/>
          </w:tcPr>
          <w:p w:rsidR="00A07CCC" w:rsidRPr="00527E0C" w:rsidRDefault="00A07CCC" w:rsidP="008048CA">
            <w:pPr>
              <w:pStyle w:val="BodyTextIndent"/>
              <w:ind w:left="0"/>
              <w:rPr>
                <w:rFonts w:cs="Arial"/>
                <w:b/>
              </w:rPr>
            </w:pPr>
          </w:p>
        </w:tc>
      </w:tr>
      <w:tr w:rsidR="00A07CCC" w:rsidRPr="00527E0C" w:rsidTr="00837CC1">
        <w:tc>
          <w:tcPr>
            <w:tcW w:w="808" w:type="dxa"/>
          </w:tcPr>
          <w:p w:rsidR="00A07CCC" w:rsidRPr="00527E0C" w:rsidRDefault="00A07CCC" w:rsidP="008048CA">
            <w:pPr>
              <w:rPr>
                <w:b/>
              </w:rPr>
            </w:pPr>
          </w:p>
        </w:tc>
        <w:tc>
          <w:tcPr>
            <w:tcW w:w="8543" w:type="dxa"/>
          </w:tcPr>
          <w:p w:rsidR="00A07CCC" w:rsidRPr="00527E0C" w:rsidRDefault="0009678C" w:rsidP="008048CA">
            <w:pPr>
              <w:pStyle w:val="BodyTextIndent2"/>
              <w:spacing w:after="0" w:line="240" w:lineRule="auto"/>
              <w:ind w:left="0"/>
            </w:pPr>
            <w:r w:rsidRPr="00527E0C">
              <w:t xml:space="preserve">Personal </w:t>
            </w:r>
            <w:r w:rsidR="000D2308" w:rsidRPr="00527E0C">
              <w:t>d</w:t>
            </w:r>
            <w:r w:rsidR="00A07CCC" w:rsidRPr="00527E0C">
              <w:t>ata refers to all items of information in any format from which an individual might be identified or which could be combined with other available information to identify an individual and is information which has a duty of confidence.</w:t>
            </w:r>
            <w:r w:rsidR="0064217D" w:rsidRPr="00527E0C">
              <w:t xml:space="preserve"> </w:t>
            </w:r>
            <w:r w:rsidR="00A07CCC" w:rsidRPr="00527E0C">
              <w:t xml:space="preserve">This </w:t>
            </w:r>
            <w:r w:rsidR="00FA487B" w:rsidRPr="00527E0C">
              <w:t xml:space="preserve">may </w:t>
            </w:r>
            <w:r w:rsidR="00A07CCC" w:rsidRPr="00527E0C">
              <w:t>include (but is not limited to):</w:t>
            </w:r>
          </w:p>
          <w:p w:rsidR="00A07CCC" w:rsidRPr="00527E0C" w:rsidRDefault="00A07CCC" w:rsidP="008048CA">
            <w:pPr>
              <w:pStyle w:val="BodyTextIndent2"/>
              <w:numPr>
                <w:ilvl w:val="0"/>
                <w:numId w:val="21"/>
              </w:numPr>
              <w:spacing w:after="0" w:line="240" w:lineRule="auto"/>
            </w:pPr>
            <w:r w:rsidRPr="00527E0C">
              <w:t>Name</w:t>
            </w:r>
          </w:p>
          <w:p w:rsidR="00A07CCC" w:rsidRPr="00527E0C" w:rsidRDefault="00A07CCC" w:rsidP="008048CA">
            <w:pPr>
              <w:pStyle w:val="BodyTextIndent2"/>
              <w:numPr>
                <w:ilvl w:val="0"/>
                <w:numId w:val="21"/>
              </w:numPr>
              <w:spacing w:after="0" w:line="240" w:lineRule="auto"/>
            </w:pPr>
            <w:r w:rsidRPr="00527E0C">
              <w:t>Date of Birth</w:t>
            </w:r>
          </w:p>
          <w:p w:rsidR="00A07CCC" w:rsidRPr="00527E0C" w:rsidRDefault="00A07CCC" w:rsidP="008048CA">
            <w:pPr>
              <w:pStyle w:val="BodyTextIndent2"/>
              <w:numPr>
                <w:ilvl w:val="0"/>
                <w:numId w:val="21"/>
              </w:numPr>
              <w:spacing w:after="0" w:line="240" w:lineRule="auto"/>
            </w:pPr>
            <w:r w:rsidRPr="00527E0C">
              <w:t xml:space="preserve">Post </w:t>
            </w:r>
            <w:r w:rsidR="00564DD4" w:rsidRPr="00527E0C">
              <w:t>c</w:t>
            </w:r>
            <w:r w:rsidRPr="00527E0C">
              <w:t>ode</w:t>
            </w:r>
          </w:p>
          <w:p w:rsidR="00A07CCC" w:rsidRPr="00527E0C" w:rsidRDefault="00A07CCC" w:rsidP="008048CA">
            <w:pPr>
              <w:pStyle w:val="BodyTextIndent2"/>
              <w:numPr>
                <w:ilvl w:val="0"/>
                <w:numId w:val="21"/>
              </w:numPr>
              <w:spacing w:after="0" w:line="240" w:lineRule="auto"/>
            </w:pPr>
            <w:r w:rsidRPr="00527E0C">
              <w:t>Address</w:t>
            </w:r>
          </w:p>
          <w:p w:rsidR="00A07CCC" w:rsidRPr="00527E0C" w:rsidRDefault="00A07CCC" w:rsidP="008048CA">
            <w:pPr>
              <w:pStyle w:val="BodyTextIndent2"/>
              <w:numPr>
                <w:ilvl w:val="0"/>
                <w:numId w:val="21"/>
              </w:numPr>
              <w:spacing w:after="0" w:line="240" w:lineRule="auto"/>
            </w:pPr>
            <w:r w:rsidRPr="00527E0C">
              <w:t>National Insurance Number</w:t>
            </w:r>
          </w:p>
          <w:p w:rsidR="00A07CCC" w:rsidRPr="00527E0C" w:rsidRDefault="00A07CCC" w:rsidP="008048CA">
            <w:pPr>
              <w:pStyle w:val="BodyTextIndent2"/>
              <w:numPr>
                <w:ilvl w:val="0"/>
                <w:numId w:val="21"/>
              </w:numPr>
              <w:spacing w:after="0" w:line="240" w:lineRule="auto"/>
            </w:pPr>
            <w:r w:rsidRPr="00527E0C">
              <w:t>Photographs, digital images etc.</w:t>
            </w:r>
          </w:p>
          <w:p w:rsidR="00A07CCC" w:rsidRPr="00527E0C" w:rsidRDefault="00A07CCC" w:rsidP="008048CA">
            <w:pPr>
              <w:pStyle w:val="BodyTextIndent2"/>
              <w:numPr>
                <w:ilvl w:val="0"/>
                <w:numId w:val="21"/>
              </w:numPr>
              <w:spacing w:after="0" w:line="240" w:lineRule="auto"/>
            </w:pPr>
            <w:r w:rsidRPr="00527E0C">
              <w:t>NHS or Hospital/Practice Number</w:t>
            </w:r>
          </w:p>
          <w:p w:rsidR="008E7A0E" w:rsidRPr="00527E0C" w:rsidRDefault="0009678C" w:rsidP="008E7A0E">
            <w:pPr>
              <w:pStyle w:val="BodyTextIndent2"/>
              <w:numPr>
                <w:ilvl w:val="0"/>
                <w:numId w:val="21"/>
              </w:numPr>
              <w:spacing w:after="0" w:line="240" w:lineRule="auto"/>
            </w:pPr>
            <w:r w:rsidRPr="00527E0C">
              <w:t>Date of D</w:t>
            </w:r>
            <w:r w:rsidR="00A07CCC" w:rsidRPr="00527E0C">
              <w:t>eath</w:t>
            </w:r>
          </w:p>
          <w:p w:rsidR="000D2308" w:rsidRPr="00527E0C" w:rsidRDefault="000D2308" w:rsidP="008E7A0E">
            <w:pPr>
              <w:pStyle w:val="BodyTextIndent2"/>
              <w:numPr>
                <w:ilvl w:val="0"/>
                <w:numId w:val="21"/>
              </w:numPr>
              <w:spacing w:after="0" w:line="240" w:lineRule="auto"/>
            </w:pPr>
            <w:r w:rsidRPr="00527E0C">
              <w:t>Passport Number</w:t>
            </w:r>
          </w:p>
          <w:p w:rsidR="000D2308" w:rsidRPr="00527E0C" w:rsidRDefault="000D2308" w:rsidP="008E7A0E">
            <w:pPr>
              <w:pStyle w:val="BodyTextIndent2"/>
              <w:numPr>
                <w:ilvl w:val="0"/>
                <w:numId w:val="21"/>
              </w:numPr>
              <w:spacing w:after="0" w:line="240" w:lineRule="auto"/>
            </w:pPr>
            <w:r w:rsidRPr="00527E0C">
              <w:t xml:space="preserve">Online identifiers and location data (such as </w:t>
            </w:r>
            <w:r w:rsidR="00927D9E" w:rsidRPr="00527E0C">
              <w:t xml:space="preserve">MAC, </w:t>
            </w:r>
            <w:r w:rsidRPr="00527E0C">
              <w:t>IP addresses and mobile device ID</w:t>
            </w:r>
            <w:r w:rsidR="00927D9E" w:rsidRPr="00527E0C">
              <w:t>s</w:t>
            </w:r>
            <w:r w:rsidRPr="00527E0C">
              <w:t>)</w:t>
            </w:r>
          </w:p>
          <w:p w:rsidR="000D2308" w:rsidRPr="00527E0C" w:rsidRDefault="000D2308" w:rsidP="008E7A0E">
            <w:pPr>
              <w:pStyle w:val="BodyTextIndent2"/>
              <w:numPr>
                <w:ilvl w:val="0"/>
                <w:numId w:val="21"/>
              </w:numPr>
              <w:spacing w:after="0" w:line="240" w:lineRule="auto"/>
            </w:pPr>
            <w:r w:rsidRPr="00527E0C">
              <w:t>Pseudonymised data</w:t>
            </w:r>
          </w:p>
        </w:tc>
      </w:tr>
      <w:tr w:rsidR="004C5B0F" w:rsidRPr="00527E0C" w:rsidTr="00837CC1">
        <w:tc>
          <w:tcPr>
            <w:tcW w:w="808" w:type="dxa"/>
          </w:tcPr>
          <w:p w:rsidR="004C5B0F" w:rsidRPr="00527E0C" w:rsidRDefault="004C5B0F" w:rsidP="008048CA">
            <w:pPr>
              <w:rPr>
                <w:b/>
              </w:rPr>
            </w:pPr>
          </w:p>
        </w:tc>
        <w:tc>
          <w:tcPr>
            <w:tcW w:w="8543" w:type="dxa"/>
          </w:tcPr>
          <w:p w:rsidR="004C5B0F" w:rsidRPr="00527E0C" w:rsidRDefault="004C5B0F" w:rsidP="008048CA">
            <w:pPr>
              <w:pStyle w:val="BodyTextIndent2"/>
              <w:spacing w:after="0" w:line="240" w:lineRule="auto"/>
              <w:ind w:left="0"/>
              <w:rPr>
                <w:b/>
              </w:rPr>
            </w:pPr>
          </w:p>
        </w:tc>
      </w:tr>
      <w:tr w:rsidR="00E346EB" w:rsidRPr="00527E0C" w:rsidTr="00837CC1">
        <w:tc>
          <w:tcPr>
            <w:tcW w:w="9351" w:type="dxa"/>
            <w:gridSpan w:val="2"/>
          </w:tcPr>
          <w:p w:rsidR="00E346EB" w:rsidRPr="00527E0C" w:rsidRDefault="00E346EB" w:rsidP="00512755">
            <w:pPr>
              <w:pStyle w:val="Heading3"/>
            </w:pPr>
            <w:r w:rsidRPr="00527E0C">
              <w:tab/>
            </w:r>
            <w:bookmarkStart w:id="6" w:name="_Toc496602604"/>
            <w:r w:rsidRPr="00527E0C">
              <w:t xml:space="preserve">5.2 </w:t>
            </w:r>
            <w:r w:rsidR="000D2308" w:rsidRPr="00527E0C">
              <w:t>Special categories of personal data</w:t>
            </w:r>
            <w:bookmarkEnd w:id="6"/>
          </w:p>
        </w:tc>
      </w:tr>
      <w:tr w:rsidR="00A07CCC" w:rsidRPr="00527E0C" w:rsidTr="00837CC1">
        <w:tc>
          <w:tcPr>
            <w:tcW w:w="808" w:type="dxa"/>
          </w:tcPr>
          <w:p w:rsidR="00A07CCC" w:rsidRPr="00527E0C" w:rsidRDefault="00A07CCC" w:rsidP="008048CA">
            <w:pPr>
              <w:rPr>
                <w:b/>
              </w:rPr>
            </w:pPr>
          </w:p>
        </w:tc>
        <w:tc>
          <w:tcPr>
            <w:tcW w:w="8543" w:type="dxa"/>
          </w:tcPr>
          <w:p w:rsidR="00A07CCC" w:rsidRPr="00527E0C" w:rsidRDefault="00A07CCC" w:rsidP="008048CA">
            <w:pPr>
              <w:pStyle w:val="BodyTextIndent2"/>
              <w:spacing w:after="0" w:line="240" w:lineRule="auto"/>
              <w:ind w:left="0"/>
              <w:rPr>
                <w:b/>
              </w:rPr>
            </w:pPr>
          </w:p>
        </w:tc>
      </w:tr>
      <w:tr w:rsidR="00A07CCC" w:rsidRPr="00527E0C" w:rsidTr="00837CC1">
        <w:tc>
          <w:tcPr>
            <w:tcW w:w="808" w:type="dxa"/>
          </w:tcPr>
          <w:p w:rsidR="00A07CCC" w:rsidRPr="00527E0C" w:rsidRDefault="00A07CCC" w:rsidP="008048CA">
            <w:pPr>
              <w:rPr>
                <w:b/>
              </w:rPr>
            </w:pPr>
          </w:p>
        </w:tc>
        <w:tc>
          <w:tcPr>
            <w:tcW w:w="8543" w:type="dxa"/>
          </w:tcPr>
          <w:p w:rsidR="00A07CCC" w:rsidRPr="00527E0C" w:rsidRDefault="00A07CCC" w:rsidP="008048CA">
            <w:pPr>
              <w:pStyle w:val="BodyTextIndent2"/>
              <w:spacing w:after="0" w:line="240" w:lineRule="auto"/>
              <w:ind w:left="0"/>
            </w:pPr>
            <w:r w:rsidRPr="00527E0C">
              <w:t xml:space="preserve">Categories of information are classified as </w:t>
            </w:r>
            <w:r w:rsidR="00FA487B" w:rsidRPr="00527E0C">
              <w:t xml:space="preserve">special categories of personal data require </w:t>
            </w:r>
            <w:r w:rsidRPr="00527E0C">
              <w:t>and additional safeguards when sharing or disclosing this information in line with guidance and legislation.  This includes (but is not limited to):</w:t>
            </w:r>
          </w:p>
          <w:p w:rsidR="005A6DFB" w:rsidRPr="00527E0C" w:rsidRDefault="000D2308" w:rsidP="008048CA">
            <w:pPr>
              <w:pStyle w:val="BodyTextIndent2"/>
              <w:numPr>
                <w:ilvl w:val="0"/>
                <w:numId w:val="24"/>
              </w:numPr>
              <w:spacing w:after="0" w:line="240" w:lineRule="auto"/>
            </w:pPr>
            <w:r w:rsidRPr="00527E0C">
              <w:t>Concerning health, sex life or sexual orientation</w:t>
            </w:r>
          </w:p>
          <w:p w:rsidR="00A07CCC" w:rsidRPr="00527E0C" w:rsidRDefault="000D2308" w:rsidP="008048CA">
            <w:pPr>
              <w:pStyle w:val="BodyTextIndent2"/>
              <w:numPr>
                <w:ilvl w:val="0"/>
                <w:numId w:val="24"/>
              </w:numPr>
              <w:spacing w:after="0" w:line="240" w:lineRule="auto"/>
            </w:pPr>
            <w:r w:rsidRPr="00527E0C">
              <w:t>Racial or ethnic origins</w:t>
            </w:r>
          </w:p>
          <w:p w:rsidR="00A07CCC" w:rsidRPr="00527E0C" w:rsidRDefault="00A07CCC" w:rsidP="008048CA">
            <w:pPr>
              <w:pStyle w:val="BodyTextIndent2"/>
              <w:numPr>
                <w:ilvl w:val="0"/>
                <w:numId w:val="24"/>
              </w:numPr>
              <w:spacing w:after="0" w:line="240" w:lineRule="auto"/>
            </w:pPr>
            <w:r w:rsidRPr="00527E0C">
              <w:t>Trade union membership</w:t>
            </w:r>
          </w:p>
          <w:p w:rsidR="00A07CCC" w:rsidRPr="00527E0C" w:rsidRDefault="00A07CCC" w:rsidP="008048CA">
            <w:pPr>
              <w:pStyle w:val="BodyTextIndent2"/>
              <w:numPr>
                <w:ilvl w:val="0"/>
                <w:numId w:val="24"/>
              </w:numPr>
              <w:spacing w:after="0" w:line="240" w:lineRule="auto"/>
            </w:pPr>
            <w:r w:rsidRPr="00527E0C">
              <w:t xml:space="preserve">Political </w:t>
            </w:r>
            <w:r w:rsidR="000D2308" w:rsidRPr="00527E0C">
              <w:t>opinions</w:t>
            </w:r>
          </w:p>
          <w:p w:rsidR="00A07CCC" w:rsidRPr="00527E0C" w:rsidRDefault="000D2308" w:rsidP="008048CA">
            <w:pPr>
              <w:pStyle w:val="BodyTextIndent2"/>
              <w:numPr>
                <w:ilvl w:val="0"/>
                <w:numId w:val="24"/>
              </w:numPr>
              <w:spacing w:after="0" w:line="240" w:lineRule="auto"/>
            </w:pPr>
            <w:r w:rsidRPr="00527E0C">
              <w:t>Religious or philosophical beliefs</w:t>
            </w:r>
          </w:p>
          <w:p w:rsidR="000D2308" w:rsidRPr="00527E0C" w:rsidRDefault="000D2308" w:rsidP="000D2308">
            <w:pPr>
              <w:pStyle w:val="BodyTextIndent2"/>
              <w:numPr>
                <w:ilvl w:val="0"/>
                <w:numId w:val="24"/>
              </w:numPr>
              <w:spacing w:after="0" w:line="240" w:lineRule="auto"/>
            </w:pPr>
            <w:r w:rsidRPr="00527E0C">
              <w:t>Genetic data</w:t>
            </w:r>
          </w:p>
          <w:p w:rsidR="00837CC1" w:rsidRPr="00527E0C" w:rsidRDefault="000D2308" w:rsidP="00837CC1">
            <w:pPr>
              <w:pStyle w:val="BodyTextIndent2"/>
              <w:numPr>
                <w:ilvl w:val="0"/>
                <w:numId w:val="24"/>
              </w:numPr>
              <w:spacing w:after="0" w:line="240" w:lineRule="auto"/>
            </w:pPr>
            <w:r w:rsidRPr="00527E0C">
              <w:t>Biometric data</w:t>
            </w:r>
          </w:p>
          <w:p w:rsidR="008827D2" w:rsidRPr="00527E0C" w:rsidRDefault="00D07659" w:rsidP="00837CC1">
            <w:pPr>
              <w:pStyle w:val="BodyTextIndent2"/>
              <w:numPr>
                <w:ilvl w:val="0"/>
                <w:numId w:val="24"/>
              </w:numPr>
              <w:spacing w:after="0" w:line="240" w:lineRule="auto"/>
            </w:pPr>
            <w:r w:rsidRPr="00527E0C">
              <w:t>R</w:t>
            </w:r>
            <w:r w:rsidR="008827D2" w:rsidRPr="00527E0C">
              <w:t xml:space="preserve">ecords relating to criminal charges and offences </w:t>
            </w:r>
          </w:p>
          <w:p w:rsidR="00D07659" w:rsidRPr="00527E0C" w:rsidRDefault="00D07659" w:rsidP="00FC640B">
            <w:pPr>
              <w:pStyle w:val="BodyTextIndent2"/>
              <w:spacing w:after="0" w:line="240" w:lineRule="auto"/>
              <w:ind w:left="0"/>
            </w:pPr>
          </w:p>
          <w:p w:rsidR="000D2308" w:rsidRPr="00527E0C" w:rsidRDefault="000D2308" w:rsidP="00FC640B">
            <w:pPr>
              <w:pStyle w:val="BodyTextIndent2"/>
              <w:spacing w:after="0" w:line="240" w:lineRule="auto"/>
              <w:ind w:left="0"/>
            </w:pPr>
            <w:r w:rsidRPr="00527E0C">
              <w:t>Special categories of personal data are also referred to as Personal Confidential Data (PCD), Sensitive Personal Data, Patient Identifiable Data (PID), Patient Identifiable Information (PII), confidential personal information (CPI) and personally identifiable information.</w:t>
            </w:r>
          </w:p>
        </w:tc>
      </w:tr>
      <w:tr w:rsidR="004C5B0F" w:rsidRPr="00527E0C" w:rsidTr="00837CC1">
        <w:tc>
          <w:tcPr>
            <w:tcW w:w="808" w:type="dxa"/>
          </w:tcPr>
          <w:p w:rsidR="004C5B0F" w:rsidRPr="00527E0C" w:rsidRDefault="004C5B0F" w:rsidP="008048CA">
            <w:pPr>
              <w:rPr>
                <w:b/>
              </w:rPr>
            </w:pPr>
          </w:p>
        </w:tc>
        <w:tc>
          <w:tcPr>
            <w:tcW w:w="8543" w:type="dxa"/>
          </w:tcPr>
          <w:p w:rsidR="004C5B0F" w:rsidRPr="00527E0C" w:rsidRDefault="004C5B0F" w:rsidP="008048CA">
            <w:pPr>
              <w:pStyle w:val="BodyTextIndent2"/>
              <w:spacing w:after="0" w:line="240" w:lineRule="auto"/>
              <w:ind w:left="0"/>
              <w:rPr>
                <w:b/>
              </w:rPr>
            </w:pPr>
          </w:p>
        </w:tc>
      </w:tr>
      <w:tr w:rsidR="00E346EB" w:rsidRPr="00527E0C" w:rsidTr="00837CC1">
        <w:tc>
          <w:tcPr>
            <w:tcW w:w="9351" w:type="dxa"/>
            <w:gridSpan w:val="2"/>
          </w:tcPr>
          <w:p w:rsidR="00E346EB" w:rsidRPr="00527E0C" w:rsidRDefault="00E346EB" w:rsidP="00802027">
            <w:pPr>
              <w:pStyle w:val="Heading3"/>
            </w:pPr>
            <w:r w:rsidRPr="00527E0C">
              <w:tab/>
            </w:r>
            <w:bookmarkStart w:id="7" w:name="_Toc496602605"/>
            <w:r w:rsidRPr="00527E0C">
              <w:t xml:space="preserve">5.3 </w:t>
            </w:r>
            <w:r w:rsidR="00802027" w:rsidRPr="00527E0C">
              <w:t xml:space="preserve">Direct </w:t>
            </w:r>
            <w:r w:rsidR="000D2308" w:rsidRPr="00527E0C">
              <w:t xml:space="preserve">Patient </w:t>
            </w:r>
            <w:r w:rsidR="00802027" w:rsidRPr="00527E0C">
              <w:t>Care</w:t>
            </w:r>
            <w:bookmarkEnd w:id="7"/>
          </w:p>
        </w:tc>
      </w:tr>
      <w:tr w:rsidR="00A07CCC" w:rsidRPr="00527E0C" w:rsidTr="00837CC1">
        <w:tc>
          <w:tcPr>
            <w:tcW w:w="808" w:type="dxa"/>
          </w:tcPr>
          <w:p w:rsidR="00A07CCC" w:rsidRPr="00527E0C" w:rsidRDefault="00A07CCC" w:rsidP="008048CA">
            <w:pPr>
              <w:rPr>
                <w:b/>
              </w:rPr>
            </w:pPr>
          </w:p>
        </w:tc>
        <w:tc>
          <w:tcPr>
            <w:tcW w:w="8543" w:type="dxa"/>
          </w:tcPr>
          <w:p w:rsidR="00A07CCC" w:rsidRPr="00527E0C" w:rsidRDefault="00A07CCC" w:rsidP="008048CA">
            <w:pPr>
              <w:pStyle w:val="BodyTextIndent2"/>
              <w:spacing w:after="0" w:line="240" w:lineRule="auto"/>
              <w:ind w:left="0"/>
              <w:rPr>
                <w:b/>
              </w:rPr>
            </w:pPr>
          </w:p>
        </w:tc>
      </w:tr>
      <w:tr w:rsidR="00A07CCC" w:rsidRPr="00527E0C" w:rsidTr="00837CC1">
        <w:tc>
          <w:tcPr>
            <w:tcW w:w="808" w:type="dxa"/>
          </w:tcPr>
          <w:p w:rsidR="00A07CCC" w:rsidRPr="00527E0C" w:rsidRDefault="00A07CCC" w:rsidP="008048CA">
            <w:pPr>
              <w:rPr>
                <w:b/>
              </w:rPr>
            </w:pPr>
          </w:p>
        </w:tc>
        <w:tc>
          <w:tcPr>
            <w:tcW w:w="8543" w:type="dxa"/>
          </w:tcPr>
          <w:p w:rsidR="00A07CCC" w:rsidRPr="00527E0C" w:rsidRDefault="00802027" w:rsidP="008048CA">
            <w:pPr>
              <w:pStyle w:val="BodyTextIndent2"/>
              <w:spacing w:after="0" w:line="240" w:lineRule="auto"/>
              <w:ind w:left="0"/>
            </w:pPr>
            <w:r w:rsidRPr="00527E0C">
              <w:t xml:space="preserve">The Caldicott Report (1997) defined direct </w:t>
            </w:r>
            <w:r w:rsidR="000D2308" w:rsidRPr="00527E0C">
              <w:t xml:space="preserve">patient </w:t>
            </w:r>
            <w:r w:rsidRPr="00527E0C">
              <w:t>care as:</w:t>
            </w:r>
          </w:p>
          <w:p w:rsidR="00802027" w:rsidRPr="00527E0C" w:rsidRDefault="00802027" w:rsidP="001254D3">
            <w:pPr>
              <w:pStyle w:val="BodyTextIndent2"/>
              <w:spacing w:after="0" w:line="240" w:lineRule="auto"/>
              <w:ind w:left="0"/>
            </w:pPr>
            <w:r w:rsidRPr="00527E0C">
              <w:t xml:space="preserve">“A clinical, social or public health activity concerned with the prevention, investigation and treatment of illness and the alleviation of suffering of </w:t>
            </w:r>
            <w:r w:rsidR="001254D3" w:rsidRPr="00527E0C">
              <w:t>i</w:t>
            </w:r>
            <w:r w:rsidRPr="00527E0C">
              <w:t>ndividuals. It includes supporting individuals’ ability to function and improve their participation in life and society. It includes the assurance of safe and high quality care and treatment through local audit, the management of untoward or adverse incidents, person satisfaction including measurement of outcomes undertaken by one or more registered and regulated health or social care professionals and their team with whom the individual has a legitimate relationship for their care</w:t>
            </w:r>
            <w:r w:rsidR="001254D3" w:rsidRPr="00527E0C">
              <w:t>”</w:t>
            </w:r>
          </w:p>
          <w:p w:rsidR="001254D3" w:rsidRPr="00527E0C" w:rsidRDefault="001254D3" w:rsidP="001254D3">
            <w:pPr>
              <w:pStyle w:val="BodyTextIndent2"/>
              <w:spacing w:after="0" w:line="240" w:lineRule="auto"/>
              <w:ind w:left="0"/>
            </w:pPr>
          </w:p>
          <w:p w:rsidR="008E7A0E" w:rsidRPr="00527E0C" w:rsidRDefault="001254D3" w:rsidP="00C43DD1">
            <w:pPr>
              <w:pStyle w:val="BodyTextIndent2"/>
              <w:spacing w:after="0" w:line="240" w:lineRule="auto"/>
              <w:ind w:left="0"/>
            </w:pPr>
            <w:r w:rsidRPr="00527E0C">
              <w:t xml:space="preserve">The </w:t>
            </w:r>
            <w:r w:rsidR="00C43DD1">
              <w:t>Practice</w:t>
            </w:r>
            <w:r w:rsidRPr="00527E0C">
              <w:t xml:space="preserve"> adheres to national gu</w:t>
            </w:r>
            <w:r w:rsidR="00E335DA" w:rsidRPr="00527E0C">
              <w:t>idance in relation to using Personal Confidential Data</w:t>
            </w:r>
            <w:r w:rsidRPr="00527E0C">
              <w:t xml:space="preserve"> for </w:t>
            </w:r>
            <w:r w:rsidR="00C43DD1">
              <w:t>healthcare</w:t>
            </w:r>
            <w:r w:rsidRPr="00527E0C">
              <w:t xml:space="preserve"> purposes</w:t>
            </w:r>
            <w:r w:rsidR="00E335DA" w:rsidRPr="00527E0C">
              <w:t xml:space="preserve"> and </w:t>
            </w:r>
            <w:r w:rsidR="005C4FAF" w:rsidRPr="00527E0C">
              <w:t>recognises</w:t>
            </w:r>
            <w:r w:rsidR="00E335DA" w:rsidRPr="00527E0C">
              <w:t xml:space="preserve"> that such data can only flow </w:t>
            </w:r>
            <w:r w:rsidR="005C4FAF" w:rsidRPr="00527E0C">
              <w:t xml:space="preserve">where </w:t>
            </w:r>
            <w:r w:rsidR="00E335DA" w:rsidRPr="00527E0C">
              <w:t>a clear legal basis enable</w:t>
            </w:r>
            <w:r w:rsidR="005C4FAF" w:rsidRPr="00527E0C">
              <w:t>s</w:t>
            </w:r>
            <w:r w:rsidR="00E335DA" w:rsidRPr="00527E0C">
              <w:t xml:space="preserve"> this.</w:t>
            </w:r>
          </w:p>
        </w:tc>
      </w:tr>
      <w:tr w:rsidR="008E7A0E" w:rsidRPr="00527E0C" w:rsidTr="00837CC1">
        <w:tc>
          <w:tcPr>
            <w:tcW w:w="808" w:type="dxa"/>
          </w:tcPr>
          <w:p w:rsidR="008E7A0E" w:rsidRPr="00527E0C" w:rsidRDefault="008E7A0E" w:rsidP="008E7A0E">
            <w:pPr>
              <w:rPr>
                <w:b/>
              </w:rPr>
            </w:pPr>
          </w:p>
        </w:tc>
        <w:tc>
          <w:tcPr>
            <w:tcW w:w="8543" w:type="dxa"/>
          </w:tcPr>
          <w:p w:rsidR="008E7A0E" w:rsidRPr="00527E0C" w:rsidRDefault="008E7A0E" w:rsidP="008E7A0E">
            <w:pPr>
              <w:pStyle w:val="BodyTextIndent2"/>
              <w:spacing w:after="0" w:line="240" w:lineRule="auto"/>
              <w:ind w:left="0"/>
              <w:rPr>
                <w:b/>
              </w:rPr>
            </w:pPr>
          </w:p>
        </w:tc>
      </w:tr>
      <w:tr w:rsidR="008E7A0E" w:rsidRPr="00527E0C" w:rsidTr="00837CC1">
        <w:tc>
          <w:tcPr>
            <w:tcW w:w="9351" w:type="dxa"/>
            <w:gridSpan w:val="2"/>
          </w:tcPr>
          <w:p w:rsidR="008E7A0E" w:rsidRPr="00527E0C" w:rsidRDefault="008E7A0E" w:rsidP="008827D2">
            <w:pPr>
              <w:pStyle w:val="Heading3"/>
            </w:pPr>
            <w:r w:rsidRPr="00527E0C">
              <w:tab/>
            </w:r>
            <w:bookmarkStart w:id="8" w:name="_Toc496602606"/>
            <w:r w:rsidRPr="00527E0C">
              <w:t xml:space="preserve">5.4 </w:t>
            </w:r>
            <w:r w:rsidR="008827D2" w:rsidRPr="00527E0C">
              <w:t>Legal basis for processing identifiable data</w:t>
            </w:r>
            <w:bookmarkEnd w:id="8"/>
            <w:r w:rsidR="008827D2" w:rsidRPr="00527E0C">
              <w:t xml:space="preserve"> </w:t>
            </w:r>
          </w:p>
        </w:tc>
      </w:tr>
      <w:tr w:rsidR="008E7A0E" w:rsidRPr="00527E0C" w:rsidTr="00837CC1">
        <w:tc>
          <w:tcPr>
            <w:tcW w:w="808" w:type="dxa"/>
          </w:tcPr>
          <w:p w:rsidR="008E7A0E" w:rsidRPr="00527E0C" w:rsidRDefault="008E7A0E" w:rsidP="008E7A0E">
            <w:pPr>
              <w:rPr>
                <w:b/>
              </w:rPr>
            </w:pPr>
          </w:p>
        </w:tc>
        <w:tc>
          <w:tcPr>
            <w:tcW w:w="8543" w:type="dxa"/>
          </w:tcPr>
          <w:p w:rsidR="008E7A0E" w:rsidRPr="00527E0C" w:rsidRDefault="008E7A0E" w:rsidP="008E7A0E">
            <w:pPr>
              <w:pStyle w:val="BodyTextIndent2"/>
              <w:spacing w:after="0" w:line="240" w:lineRule="auto"/>
              <w:ind w:left="0"/>
              <w:rPr>
                <w:b/>
              </w:rPr>
            </w:pPr>
          </w:p>
        </w:tc>
      </w:tr>
      <w:tr w:rsidR="008E7A0E" w:rsidRPr="00527E0C" w:rsidTr="00837CC1">
        <w:tc>
          <w:tcPr>
            <w:tcW w:w="808" w:type="dxa"/>
          </w:tcPr>
          <w:p w:rsidR="008E7A0E" w:rsidRPr="00527E0C" w:rsidRDefault="008E7A0E" w:rsidP="008E7A0E">
            <w:pPr>
              <w:rPr>
                <w:b/>
              </w:rPr>
            </w:pPr>
          </w:p>
        </w:tc>
        <w:tc>
          <w:tcPr>
            <w:tcW w:w="8543" w:type="dxa"/>
          </w:tcPr>
          <w:p w:rsidR="00312F2A" w:rsidRPr="00527E0C" w:rsidRDefault="008827D2" w:rsidP="008E7A0E">
            <w:r w:rsidRPr="00527E0C">
              <w:t xml:space="preserve">A </w:t>
            </w:r>
            <w:r w:rsidR="00C43DD1">
              <w:t>Data Protection</w:t>
            </w:r>
            <w:r w:rsidRPr="00527E0C">
              <w:t xml:space="preserve"> Impact </w:t>
            </w:r>
            <w:r w:rsidR="00837CC1" w:rsidRPr="00527E0C">
              <w:t>Assessment</w:t>
            </w:r>
            <w:r w:rsidRPr="00527E0C">
              <w:t xml:space="preserve"> </w:t>
            </w:r>
            <w:r w:rsidR="00312F2A" w:rsidRPr="00527E0C">
              <w:t>(</w:t>
            </w:r>
            <w:r w:rsidR="00C43DD1">
              <w:t>D</w:t>
            </w:r>
            <w:r w:rsidR="00312F2A" w:rsidRPr="00527E0C">
              <w:t>PIA) is required in order to demonstrate a legal basis for processing identifiable data.</w:t>
            </w:r>
          </w:p>
          <w:p w:rsidR="00312F2A" w:rsidRPr="00527E0C" w:rsidRDefault="00312F2A" w:rsidP="008E7A0E"/>
          <w:p w:rsidR="00312F2A" w:rsidRPr="00527E0C" w:rsidRDefault="00312F2A" w:rsidP="008E7A0E">
            <w:r w:rsidRPr="00527E0C">
              <w:t xml:space="preserve">The </w:t>
            </w:r>
            <w:r w:rsidR="00C43DD1">
              <w:t>D</w:t>
            </w:r>
            <w:r w:rsidRPr="00527E0C">
              <w:t>PIA references how people about how their data is being processed.</w:t>
            </w:r>
          </w:p>
          <w:p w:rsidR="00312F2A" w:rsidRPr="00527E0C" w:rsidRDefault="00312F2A" w:rsidP="008E7A0E"/>
          <w:p w:rsidR="00D950F3" w:rsidRPr="00527E0C" w:rsidRDefault="00312F2A" w:rsidP="008E7A0E">
            <w:r w:rsidRPr="00527E0C">
              <w:t>If a legal basis has been established in the first instance for processing identifiable data</w:t>
            </w:r>
            <w:r w:rsidR="00D950F3" w:rsidRPr="00527E0C">
              <w:t xml:space="preserve"> </w:t>
            </w:r>
            <w:r w:rsidR="00837CC1" w:rsidRPr="00527E0C">
              <w:rPr>
                <w:b/>
              </w:rPr>
              <w:t>and</w:t>
            </w:r>
            <w:r w:rsidR="00D950F3" w:rsidRPr="00527E0C">
              <w:t xml:space="preserve"> the data is to be used for another purpose, explicit consent</w:t>
            </w:r>
            <w:r w:rsidR="00C43DD1">
              <w:t xml:space="preserve"> is required</w:t>
            </w:r>
            <w:r w:rsidR="00D950F3" w:rsidRPr="00527E0C">
              <w:t>.</w:t>
            </w:r>
          </w:p>
          <w:p w:rsidR="00D950F3" w:rsidRPr="00527E0C" w:rsidRDefault="00D950F3" w:rsidP="008E7A0E"/>
          <w:p w:rsidR="00D07659" w:rsidRPr="00527E0C" w:rsidRDefault="00D07659" w:rsidP="008E7A0E">
            <w:r w:rsidRPr="00527E0C">
              <w:rPr>
                <w:color w:val="000000"/>
              </w:rPr>
              <w:t>Explicit consent is described in GDPR as any freely given, specific, informed and unambiguous indication of the data subject’s wishes by which he or she, through a statement or clear affirmative action, signifies agreement to the processing of their personal data.</w:t>
            </w:r>
          </w:p>
          <w:p w:rsidR="00D950F3" w:rsidRPr="00527E0C" w:rsidRDefault="00D950F3" w:rsidP="008E7A0E"/>
          <w:p w:rsidR="008E7A0E" w:rsidRPr="00527E0C" w:rsidRDefault="0077565E" w:rsidP="00C43DD1">
            <w:r w:rsidRPr="00527E0C">
              <w:t xml:space="preserve">An overview of these considerations is provided </w:t>
            </w:r>
            <w:r w:rsidR="00ED1C2B" w:rsidRPr="00527E0C">
              <w:t>with</w:t>
            </w:r>
            <w:r w:rsidRPr="00527E0C">
              <w:t xml:space="preserve">in the </w:t>
            </w:r>
            <w:r w:rsidR="00287C0B">
              <w:t>Practice</w:t>
            </w:r>
            <w:r w:rsidRPr="00C52CFA">
              <w:t xml:space="preserve"> Privacy Notice</w:t>
            </w:r>
            <w:r w:rsidR="00837CC1" w:rsidRPr="00C52CFA">
              <w:t>.</w:t>
            </w:r>
            <w:r w:rsidRPr="00527E0C">
              <w:t xml:space="preserve"> </w:t>
            </w:r>
          </w:p>
        </w:tc>
      </w:tr>
      <w:tr w:rsidR="00DD5A3B" w:rsidRPr="00527E0C" w:rsidTr="00837CC1">
        <w:tc>
          <w:tcPr>
            <w:tcW w:w="808" w:type="dxa"/>
          </w:tcPr>
          <w:p w:rsidR="00DD5A3B" w:rsidRPr="00527E0C" w:rsidRDefault="00DD5A3B" w:rsidP="00DD5A3B">
            <w:pPr>
              <w:rPr>
                <w:b/>
              </w:rPr>
            </w:pPr>
          </w:p>
        </w:tc>
        <w:tc>
          <w:tcPr>
            <w:tcW w:w="8543" w:type="dxa"/>
          </w:tcPr>
          <w:p w:rsidR="00DD5A3B" w:rsidRPr="00527E0C" w:rsidRDefault="00DD5A3B" w:rsidP="00DD5A3B">
            <w:pPr>
              <w:pStyle w:val="BodyTextIndent2"/>
              <w:spacing w:after="0" w:line="240" w:lineRule="auto"/>
              <w:ind w:left="0"/>
              <w:rPr>
                <w:b/>
              </w:rPr>
            </w:pPr>
          </w:p>
        </w:tc>
      </w:tr>
      <w:tr w:rsidR="00DD5A3B" w:rsidRPr="00527E0C" w:rsidTr="00837CC1">
        <w:tc>
          <w:tcPr>
            <w:tcW w:w="9351" w:type="dxa"/>
            <w:gridSpan w:val="2"/>
          </w:tcPr>
          <w:p w:rsidR="00DD5A3B" w:rsidRPr="00527E0C" w:rsidRDefault="00DD5A3B" w:rsidP="00837CC1">
            <w:pPr>
              <w:pStyle w:val="Heading3"/>
            </w:pPr>
            <w:r w:rsidRPr="00527E0C">
              <w:tab/>
            </w:r>
            <w:bookmarkStart w:id="9" w:name="_Toc496602607"/>
            <w:r w:rsidRPr="00527E0C">
              <w:t>5.5 Objections and Opt Out</w:t>
            </w:r>
            <w:bookmarkEnd w:id="9"/>
          </w:p>
        </w:tc>
      </w:tr>
      <w:tr w:rsidR="00837CC1" w:rsidRPr="00527E0C" w:rsidTr="00837CC1">
        <w:tc>
          <w:tcPr>
            <w:tcW w:w="808" w:type="dxa"/>
          </w:tcPr>
          <w:p w:rsidR="00837CC1" w:rsidRPr="00527E0C" w:rsidRDefault="00837CC1" w:rsidP="00DD5A3B">
            <w:pPr>
              <w:rPr>
                <w:b/>
              </w:rPr>
            </w:pPr>
          </w:p>
        </w:tc>
        <w:tc>
          <w:tcPr>
            <w:tcW w:w="8543" w:type="dxa"/>
          </w:tcPr>
          <w:p w:rsidR="00837CC1" w:rsidRPr="00527E0C" w:rsidRDefault="00837CC1" w:rsidP="00DD5A3B">
            <w:pPr>
              <w:pStyle w:val="BodyTextIndent2"/>
              <w:spacing w:after="0" w:line="240" w:lineRule="auto"/>
              <w:ind w:left="0"/>
              <w:rPr>
                <w:b/>
              </w:rPr>
            </w:pPr>
          </w:p>
        </w:tc>
      </w:tr>
      <w:tr w:rsidR="00DD5A3B" w:rsidRPr="00527E0C" w:rsidTr="00837CC1">
        <w:tc>
          <w:tcPr>
            <w:tcW w:w="808" w:type="dxa"/>
          </w:tcPr>
          <w:p w:rsidR="00DD5A3B" w:rsidRPr="00527E0C" w:rsidRDefault="00DD5A3B" w:rsidP="00DD5A3B">
            <w:pPr>
              <w:rPr>
                <w:b/>
              </w:rPr>
            </w:pPr>
          </w:p>
        </w:tc>
        <w:tc>
          <w:tcPr>
            <w:tcW w:w="8543" w:type="dxa"/>
          </w:tcPr>
          <w:p w:rsidR="00D950F3" w:rsidRPr="00527E0C" w:rsidRDefault="00D950F3" w:rsidP="00D950F3">
            <w:pPr>
              <w:pStyle w:val="BodyTextIndent2"/>
              <w:spacing w:after="0" w:line="240" w:lineRule="auto"/>
              <w:ind w:left="0"/>
            </w:pPr>
            <w:r w:rsidRPr="00527E0C">
              <w:t>Where patient identifiable information is being processed for purposes other than direct care, there is an obligation to respect opt outs that have already been presented.</w:t>
            </w:r>
          </w:p>
          <w:p w:rsidR="00837CC1" w:rsidRPr="00527E0C" w:rsidRDefault="00837CC1" w:rsidP="00D950F3">
            <w:pPr>
              <w:pStyle w:val="BodyTextIndent2"/>
              <w:spacing w:after="0" w:line="240" w:lineRule="auto"/>
              <w:ind w:left="0"/>
            </w:pPr>
          </w:p>
          <w:p w:rsidR="00837CC1" w:rsidRPr="00527E0C" w:rsidRDefault="00837CC1" w:rsidP="00D950F3">
            <w:pPr>
              <w:pStyle w:val="BodyTextIndent2"/>
              <w:spacing w:after="0" w:line="240" w:lineRule="auto"/>
              <w:ind w:left="0"/>
            </w:pPr>
            <w:r w:rsidRPr="00527E0C">
              <w:t>The National Data Guardian suggested a new consent and opt out model within her report published in 2016. A new system for managing patient opt outs regarding the use of identifiable data for purposes other than direct care is being introduced.</w:t>
            </w:r>
          </w:p>
        </w:tc>
      </w:tr>
      <w:tr w:rsidR="00802027" w:rsidRPr="00527E0C" w:rsidTr="00837CC1">
        <w:tc>
          <w:tcPr>
            <w:tcW w:w="808" w:type="dxa"/>
          </w:tcPr>
          <w:p w:rsidR="00802027" w:rsidRPr="00527E0C" w:rsidRDefault="00802027" w:rsidP="008048CA">
            <w:pPr>
              <w:rPr>
                <w:b/>
              </w:rPr>
            </w:pPr>
          </w:p>
        </w:tc>
        <w:tc>
          <w:tcPr>
            <w:tcW w:w="8543" w:type="dxa"/>
          </w:tcPr>
          <w:p w:rsidR="00802027" w:rsidRPr="00527E0C" w:rsidRDefault="00802027" w:rsidP="008048CA">
            <w:pPr>
              <w:pStyle w:val="BodyTextIndent2"/>
              <w:spacing w:after="0" w:line="240" w:lineRule="auto"/>
              <w:ind w:left="0"/>
              <w:rPr>
                <w:b/>
              </w:rPr>
            </w:pPr>
          </w:p>
        </w:tc>
      </w:tr>
      <w:tr w:rsidR="00802027" w:rsidRPr="00527E0C" w:rsidTr="00837CC1">
        <w:tc>
          <w:tcPr>
            <w:tcW w:w="9351" w:type="dxa"/>
            <w:gridSpan w:val="2"/>
          </w:tcPr>
          <w:p w:rsidR="00802027" w:rsidRPr="00527E0C" w:rsidRDefault="00802027" w:rsidP="00DD5A3B">
            <w:pPr>
              <w:pStyle w:val="Heading3"/>
            </w:pPr>
            <w:r w:rsidRPr="00527E0C">
              <w:tab/>
            </w:r>
            <w:bookmarkStart w:id="10" w:name="_Toc496602608"/>
            <w:r w:rsidR="008E7A0E" w:rsidRPr="00527E0C">
              <w:t>5.</w:t>
            </w:r>
            <w:r w:rsidR="00DD5A3B" w:rsidRPr="00527E0C">
              <w:t>6</w:t>
            </w:r>
            <w:r w:rsidRPr="00527E0C">
              <w:t xml:space="preserve"> Corporate Information</w:t>
            </w:r>
            <w:bookmarkEnd w:id="10"/>
          </w:p>
        </w:tc>
      </w:tr>
      <w:tr w:rsidR="00802027" w:rsidRPr="00527E0C" w:rsidTr="00837CC1">
        <w:tc>
          <w:tcPr>
            <w:tcW w:w="808" w:type="dxa"/>
          </w:tcPr>
          <w:p w:rsidR="00802027" w:rsidRPr="00527E0C" w:rsidRDefault="00802027" w:rsidP="008048CA">
            <w:pPr>
              <w:rPr>
                <w:b/>
              </w:rPr>
            </w:pPr>
          </w:p>
        </w:tc>
        <w:tc>
          <w:tcPr>
            <w:tcW w:w="8543" w:type="dxa"/>
          </w:tcPr>
          <w:p w:rsidR="00802027" w:rsidRPr="00527E0C" w:rsidRDefault="00802027" w:rsidP="008048CA">
            <w:pPr>
              <w:pStyle w:val="BodyTextIndent2"/>
              <w:spacing w:after="0" w:line="240" w:lineRule="auto"/>
              <w:ind w:left="0"/>
              <w:rPr>
                <w:b/>
              </w:rPr>
            </w:pPr>
          </w:p>
        </w:tc>
      </w:tr>
      <w:tr w:rsidR="00802027" w:rsidRPr="00527E0C" w:rsidTr="00837CC1">
        <w:tc>
          <w:tcPr>
            <w:tcW w:w="808" w:type="dxa"/>
          </w:tcPr>
          <w:p w:rsidR="00802027" w:rsidRPr="00527E0C" w:rsidRDefault="00802027" w:rsidP="008048CA">
            <w:pPr>
              <w:rPr>
                <w:b/>
              </w:rPr>
            </w:pPr>
          </w:p>
        </w:tc>
        <w:tc>
          <w:tcPr>
            <w:tcW w:w="8543" w:type="dxa"/>
          </w:tcPr>
          <w:p w:rsidR="00802027" w:rsidRPr="00527E0C" w:rsidRDefault="00802027" w:rsidP="00802027">
            <w:pPr>
              <w:pStyle w:val="BodyTextIndent2"/>
              <w:spacing w:after="0" w:line="240" w:lineRule="auto"/>
              <w:ind w:left="0"/>
            </w:pPr>
            <w:r w:rsidRPr="00527E0C">
              <w:t>Corporate information includes:</w:t>
            </w:r>
          </w:p>
          <w:p w:rsidR="00802027" w:rsidRPr="00527E0C" w:rsidRDefault="00802027" w:rsidP="00802027">
            <w:pPr>
              <w:pStyle w:val="BodyTextIndent2"/>
              <w:numPr>
                <w:ilvl w:val="0"/>
                <w:numId w:val="2"/>
              </w:numPr>
              <w:spacing w:after="0" w:line="240" w:lineRule="auto"/>
            </w:pPr>
            <w:r w:rsidRPr="00527E0C">
              <w:t>Governing Body and meeting papers and minutes</w:t>
            </w:r>
          </w:p>
          <w:p w:rsidR="00802027" w:rsidRPr="00527E0C" w:rsidRDefault="00802027" w:rsidP="00802027">
            <w:pPr>
              <w:pStyle w:val="BodyTextIndent2"/>
              <w:numPr>
                <w:ilvl w:val="0"/>
                <w:numId w:val="2"/>
              </w:numPr>
              <w:spacing w:after="0" w:line="240" w:lineRule="auto"/>
            </w:pPr>
            <w:r w:rsidRPr="00527E0C">
              <w:t>Tendering and contracting information</w:t>
            </w:r>
          </w:p>
          <w:p w:rsidR="00802027" w:rsidRPr="00527E0C" w:rsidRDefault="00802027" w:rsidP="00802027">
            <w:pPr>
              <w:pStyle w:val="BodyTextIndent2"/>
              <w:numPr>
                <w:ilvl w:val="0"/>
                <w:numId w:val="2"/>
              </w:numPr>
              <w:spacing w:after="0" w:line="240" w:lineRule="auto"/>
            </w:pPr>
            <w:r w:rsidRPr="00527E0C">
              <w:t>Financial and statistical information</w:t>
            </w:r>
          </w:p>
          <w:p w:rsidR="00802027" w:rsidRPr="00527E0C" w:rsidRDefault="00802027" w:rsidP="00802027">
            <w:pPr>
              <w:pStyle w:val="BodyTextIndent2"/>
              <w:numPr>
                <w:ilvl w:val="0"/>
                <w:numId w:val="2"/>
              </w:numPr>
              <w:spacing w:after="0" w:line="240" w:lineRule="auto"/>
            </w:pPr>
            <w:r w:rsidRPr="00527E0C">
              <w:t>Project and planning information</w:t>
            </w:r>
          </w:p>
          <w:p w:rsidR="00802027" w:rsidRPr="00527E0C" w:rsidRDefault="00802027" w:rsidP="00802027">
            <w:pPr>
              <w:pStyle w:val="BodyTextIndent2"/>
              <w:spacing w:after="0" w:line="240" w:lineRule="auto"/>
              <w:ind w:left="0"/>
            </w:pPr>
          </w:p>
          <w:p w:rsidR="008449CB" w:rsidRPr="00527E0C" w:rsidRDefault="00802027" w:rsidP="00802027">
            <w:pPr>
              <w:pStyle w:val="BodyTextIndent2"/>
              <w:spacing w:after="0" w:line="240" w:lineRule="auto"/>
              <w:ind w:left="0"/>
            </w:pPr>
            <w:r w:rsidRPr="00527E0C">
              <w:t xml:space="preserve">Corporate information could be accessible through the Freedom of Information Act either from the </w:t>
            </w:r>
            <w:r w:rsidR="00287C0B">
              <w:t>Practice</w:t>
            </w:r>
            <w:r w:rsidRPr="00527E0C">
              <w:t xml:space="preserve"> responding to a request for information or through making information accessible via the </w:t>
            </w:r>
            <w:r w:rsidR="00287C0B">
              <w:t>Practice</w:t>
            </w:r>
            <w:r w:rsidRPr="00527E0C">
              <w:t xml:space="preserve"> Freedom of Information Publication Scheme. Where any corporate information has a duty of confidence attached to it - the information may be exempt from release. Additionally, other exemptions of the Act could restrict release of certain corporate information.</w:t>
            </w:r>
          </w:p>
        </w:tc>
      </w:tr>
      <w:tr w:rsidR="00837CC1" w:rsidRPr="00527E0C" w:rsidTr="00837CC1">
        <w:tc>
          <w:tcPr>
            <w:tcW w:w="808" w:type="dxa"/>
          </w:tcPr>
          <w:p w:rsidR="00837CC1" w:rsidRPr="00527E0C" w:rsidRDefault="00837CC1" w:rsidP="008048CA">
            <w:pPr>
              <w:rPr>
                <w:b/>
              </w:rPr>
            </w:pPr>
          </w:p>
        </w:tc>
        <w:tc>
          <w:tcPr>
            <w:tcW w:w="8543" w:type="dxa"/>
          </w:tcPr>
          <w:p w:rsidR="00837CC1" w:rsidRPr="00527E0C" w:rsidRDefault="00837CC1" w:rsidP="00802027">
            <w:pPr>
              <w:pStyle w:val="BodyTextIndent2"/>
              <w:spacing w:after="0" w:line="240" w:lineRule="auto"/>
              <w:ind w:left="0"/>
            </w:pPr>
          </w:p>
        </w:tc>
      </w:tr>
      <w:tr w:rsidR="00837CC1" w:rsidRPr="00527E0C" w:rsidTr="00837CC1">
        <w:tc>
          <w:tcPr>
            <w:tcW w:w="9351" w:type="dxa"/>
            <w:gridSpan w:val="2"/>
          </w:tcPr>
          <w:p w:rsidR="00837CC1" w:rsidRPr="00527E0C" w:rsidRDefault="00837CC1" w:rsidP="00B63368">
            <w:pPr>
              <w:pStyle w:val="Heading1"/>
              <w:numPr>
                <w:ilvl w:val="0"/>
                <w:numId w:val="23"/>
              </w:numPr>
              <w:tabs>
                <w:tab w:val="clear" w:pos="927"/>
                <w:tab w:val="num" w:pos="743"/>
              </w:tabs>
              <w:ind w:hanging="609"/>
            </w:pPr>
            <w:bookmarkStart w:id="11" w:name="_Toc496602609"/>
            <w:r w:rsidRPr="00527E0C">
              <w:lastRenderedPageBreak/>
              <w:t>ENSURING INFORMATION IS SECURE AND CONFIDENTIAL</w:t>
            </w:r>
            <w:bookmarkEnd w:id="11"/>
          </w:p>
        </w:tc>
      </w:tr>
      <w:tr w:rsidR="00837CC1" w:rsidRPr="00527E0C" w:rsidTr="00837CC1">
        <w:tc>
          <w:tcPr>
            <w:tcW w:w="808" w:type="dxa"/>
          </w:tcPr>
          <w:p w:rsidR="00837CC1" w:rsidRPr="00527E0C" w:rsidRDefault="00837CC1" w:rsidP="00837CC1">
            <w:pPr>
              <w:rPr>
                <w:b/>
              </w:rPr>
            </w:pPr>
          </w:p>
        </w:tc>
        <w:tc>
          <w:tcPr>
            <w:tcW w:w="8543" w:type="dxa"/>
          </w:tcPr>
          <w:p w:rsidR="00837CC1" w:rsidRPr="00527E0C" w:rsidRDefault="00837CC1" w:rsidP="00837CC1">
            <w:pPr>
              <w:pStyle w:val="Default"/>
              <w:rPr>
                <w:b/>
              </w:rPr>
            </w:pPr>
          </w:p>
        </w:tc>
      </w:tr>
      <w:tr w:rsidR="00837CC1" w:rsidRPr="00527E0C" w:rsidTr="00837CC1">
        <w:tc>
          <w:tcPr>
            <w:tcW w:w="9351" w:type="dxa"/>
            <w:gridSpan w:val="2"/>
          </w:tcPr>
          <w:p w:rsidR="00837CC1" w:rsidRPr="00527E0C" w:rsidRDefault="00837CC1" w:rsidP="00B63368">
            <w:pPr>
              <w:pStyle w:val="Heading3"/>
            </w:pPr>
            <w:r w:rsidRPr="00527E0C">
              <w:tab/>
            </w:r>
            <w:bookmarkStart w:id="12" w:name="_Toc496602610"/>
            <w:r w:rsidR="00B63368" w:rsidRPr="00527E0C">
              <w:t>6.1</w:t>
            </w:r>
            <w:r w:rsidRPr="00527E0C">
              <w:t xml:space="preserve"> General Principles</w:t>
            </w:r>
            <w:bookmarkEnd w:id="12"/>
          </w:p>
        </w:tc>
      </w:tr>
      <w:tr w:rsidR="00837CC1" w:rsidRPr="00527E0C" w:rsidTr="00837CC1">
        <w:tc>
          <w:tcPr>
            <w:tcW w:w="808" w:type="dxa"/>
          </w:tcPr>
          <w:p w:rsidR="00837CC1" w:rsidRPr="00527E0C" w:rsidRDefault="00837CC1" w:rsidP="00837CC1">
            <w:pPr>
              <w:rPr>
                <w:b/>
              </w:rPr>
            </w:pPr>
          </w:p>
        </w:tc>
        <w:tc>
          <w:tcPr>
            <w:tcW w:w="8543" w:type="dxa"/>
          </w:tcPr>
          <w:p w:rsidR="00837CC1" w:rsidRPr="00527E0C" w:rsidRDefault="00837CC1" w:rsidP="00837CC1">
            <w:pPr>
              <w:pStyle w:val="Default"/>
              <w:rPr>
                <w:b/>
              </w:rPr>
            </w:pPr>
          </w:p>
        </w:tc>
      </w:tr>
      <w:tr w:rsidR="00837CC1" w:rsidRPr="00527E0C" w:rsidTr="00837CC1">
        <w:tc>
          <w:tcPr>
            <w:tcW w:w="808" w:type="dxa"/>
          </w:tcPr>
          <w:p w:rsidR="00837CC1" w:rsidRPr="00527E0C" w:rsidRDefault="00837CC1" w:rsidP="00837CC1">
            <w:pPr>
              <w:rPr>
                <w:b/>
              </w:rPr>
            </w:pPr>
          </w:p>
        </w:tc>
        <w:tc>
          <w:tcPr>
            <w:tcW w:w="8543" w:type="dxa"/>
          </w:tcPr>
          <w:p w:rsidR="00837CC1" w:rsidRPr="00527E0C" w:rsidRDefault="00837CC1" w:rsidP="00837CC1">
            <w:pPr>
              <w:pStyle w:val="Default"/>
              <w:numPr>
                <w:ilvl w:val="0"/>
                <w:numId w:val="17"/>
              </w:numPr>
            </w:pPr>
            <w:r w:rsidRPr="00527E0C">
              <w:t xml:space="preserve">The </w:t>
            </w:r>
            <w:r w:rsidR="00287C0B">
              <w:t>Practice</w:t>
            </w:r>
            <w:r w:rsidRPr="00527E0C">
              <w:t xml:space="preserve"> regard all identifiable personal information relating to patients as confidential and compliance with the legal and regulatory framework will be achieved, monitored and maintained.</w:t>
            </w:r>
          </w:p>
          <w:p w:rsidR="00837CC1" w:rsidRPr="00527E0C" w:rsidRDefault="00837CC1" w:rsidP="00837CC1">
            <w:pPr>
              <w:pStyle w:val="BodyTextIndent"/>
              <w:numPr>
                <w:ilvl w:val="0"/>
                <w:numId w:val="17"/>
              </w:numPr>
              <w:rPr>
                <w:rFonts w:cs="Arial"/>
              </w:rPr>
            </w:pPr>
            <w:r w:rsidRPr="00527E0C">
              <w:rPr>
                <w:rFonts w:cs="Arial"/>
              </w:rPr>
              <w:t xml:space="preserve">The </w:t>
            </w:r>
            <w:r w:rsidR="00287C0B">
              <w:rPr>
                <w:rFonts w:cs="Arial"/>
              </w:rPr>
              <w:t>Practice</w:t>
            </w:r>
            <w:r w:rsidRPr="00527E0C">
              <w:rPr>
                <w:rFonts w:cs="Arial"/>
              </w:rPr>
              <w:t xml:space="preserve"> regard all identifiable personal information relating to staff as confidential except where national policy on accountability and openness requires otherwise.</w:t>
            </w:r>
          </w:p>
          <w:p w:rsidR="00837CC1" w:rsidRPr="00527E0C" w:rsidRDefault="00837CC1" w:rsidP="00837CC1">
            <w:pPr>
              <w:pStyle w:val="BodyTextIndent"/>
              <w:numPr>
                <w:ilvl w:val="0"/>
                <w:numId w:val="17"/>
              </w:numPr>
              <w:rPr>
                <w:rFonts w:cs="Arial"/>
              </w:rPr>
            </w:pPr>
            <w:r w:rsidRPr="00527E0C">
              <w:rPr>
                <w:rFonts w:cs="Arial"/>
              </w:rPr>
              <w:t xml:space="preserve">The </w:t>
            </w:r>
            <w:r w:rsidR="00287C0B">
              <w:rPr>
                <w:rFonts w:cs="Arial"/>
              </w:rPr>
              <w:t>Practice</w:t>
            </w:r>
            <w:r w:rsidRPr="00527E0C">
              <w:rPr>
                <w:rFonts w:cs="Arial"/>
              </w:rPr>
              <w:t xml:space="preserve"> will establish and maintain policies and procedures to ensure compliance with the General Data Protection Regulation, Data Protection Act, Human Rights Act, the Common Law Duty of Confidentiality, Privacy and Electronic Communications Regulations, the Freedom of Information Act and Environmental Information Regulations and other related legislation and guidance.</w:t>
            </w:r>
          </w:p>
          <w:p w:rsidR="00837CC1" w:rsidRPr="00527E0C" w:rsidRDefault="00837CC1" w:rsidP="00837CC1">
            <w:pPr>
              <w:pStyle w:val="BodyTextIndent"/>
              <w:numPr>
                <w:ilvl w:val="0"/>
                <w:numId w:val="17"/>
              </w:numPr>
              <w:rPr>
                <w:rFonts w:cs="Arial"/>
              </w:rPr>
            </w:pPr>
            <w:r w:rsidRPr="00527E0C">
              <w:rPr>
                <w:rFonts w:cs="Arial"/>
              </w:rPr>
              <w:t>Awareness and understanding of all staff, with regard to responsibilities, will be routinely assessed and appropriate training and awareness provided.</w:t>
            </w:r>
          </w:p>
          <w:p w:rsidR="00837CC1" w:rsidRPr="00527E0C" w:rsidRDefault="00837CC1" w:rsidP="00837CC1">
            <w:pPr>
              <w:pStyle w:val="BodyTextIndent"/>
              <w:numPr>
                <w:ilvl w:val="0"/>
                <w:numId w:val="17"/>
              </w:numPr>
              <w:rPr>
                <w:rFonts w:cs="Arial"/>
              </w:rPr>
            </w:pPr>
            <w:r w:rsidRPr="00527E0C">
              <w:rPr>
                <w:rFonts w:cs="Arial"/>
              </w:rPr>
              <w:t>Risk assessment, in conjunction with overall priority planning of organisational activity will be undertaken to determine appropriate, effective and affordable confidentiality and data protection controls are in place.</w:t>
            </w:r>
          </w:p>
          <w:p w:rsidR="00837CC1" w:rsidRPr="00527E0C" w:rsidRDefault="00837CC1" w:rsidP="00837CC1">
            <w:pPr>
              <w:pStyle w:val="BodyTextIndent"/>
              <w:numPr>
                <w:ilvl w:val="0"/>
                <w:numId w:val="17"/>
              </w:numPr>
              <w:rPr>
                <w:rFonts w:cs="Arial"/>
              </w:rPr>
            </w:pPr>
            <w:r w:rsidRPr="00527E0C">
              <w:rPr>
                <w:rFonts w:cs="Arial"/>
              </w:rPr>
              <w:t>Where any disclosure of PCD is made there a must be a legal basis for doing so.</w:t>
            </w:r>
          </w:p>
        </w:tc>
      </w:tr>
      <w:tr w:rsidR="00837CC1" w:rsidRPr="00527E0C" w:rsidTr="00837CC1">
        <w:tc>
          <w:tcPr>
            <w:tcW w:w="808" w:type="dxa"/>
          </w:tcPr>
          <w:p w:rsidR="00837CC1" w:rsidRPr="00527E0C" w:rsidRDefault="00837CC1" w:rsidP="00837CC1">
            <w:pPr>
              <w:rPr>
                <w:b/>
              </w:rPr>
            </w:pPr>
          </w:p>
        </w:tc>
        <w:tc>
          <w:tcPr>
            <w:tcW w:w="8543" w:type="dxa"/>
          </w:tcPr>
          <w:p w:rsidR="00837CC1" w:rsidRPr="00527E0C" w:rsidRDefault="00837CC1" w:rsidP="00837CC1">
            <w:pPr>
              <w:pStyle w:val="Default"/>
              <w:rPr>
                <w:b/>
              </w:rPr>
            </w:pPr>
          </w:p>
        </w:tc>
      </w:tr>
      <w:tr w:rsidR="00837CC1" w:rsidRPr="00527E0C" w:rsidTr="00837CC1">
        <w:tc>
          <w:tcPr>
            <w:tcW w:w="9351" w:type="dxa"/>
            <w:gridSpan w:val="2"/>
          </w:tcPr>
          <w:p w:rsidR="00837CC1" w:rsidRPr="00527E0C" w:rsidRDefault="00837CC1" w:rsidP="00B63368">
            <w:pPr>
              <w:pStyle w:val="Heading3"/>
              <w:ind w:left="602" w:hanging="602"/>
            </w:pPr>
            <w:r w:rsidRPr="00527E0C">
              <w:tab/>
            </w:r>
            <w:bookmarkStart w:id="13" w:name="_Toc496602611"/>
            <w:r w:rsidR="00B63368" w:rsidRPr="00527E0C">
              <w:t>6</w:t>
            </w:r>
            <w:r w:rsidRPr="00527E0C">
              <w:t>.2 Using and Disclosing Confidential Patient Information for Direct Healthcare</w:t>
            </w:r>
            <w:bookmarkEnd w:id="13"/>
          </w:p>
        </w:tc>
      </w:tr>
      <w:tr w:rsidR="00837CC1" w:rsidRPr="00527E0C" w:rsidTr="00DA5353">
        <w:tc>
          <w:tcPr>
            <w:tcW w:w="808" w:type="dxa"/>
          </w:tcPr>
          <w:p w:rsidR="00837CC1" w:rsidRPr="00527E0C" w:rsidRDefault="00837CC1" w:rsidP="00837CC1">
            <w:pPr>
              <w:rPr>
                <w:b/>
              </w:rPr>
            </w:pPr>
          </w:p>
        </w:tc>
        <w:tc>
          <w:tcPr>
            <w:tcW w:w="8543" w:type="dxa"/>
          </w:tcPr>
          <w:p w:rsidR="00837CC1" w:rsidRPr="00527E0C" w:rsidRDefault="00837CC1" w:rsidP="00837CC1">
            <w:pPr>
              <w:pStyle w:val="Default"/>
              <w:rPr>
                <w:b/>
                <w:bCs/>
              </w:rPr>
            </w:pPr>
          </w:p>
        </w:tc>
      </w:tr>
      <w:tr w:rsidR="00837CC1" w:rsidRPr="00527E0C" w:rsidTr="00DA5353">
        <w:tc>
          <w:tcPr>
            <w:tcW w:w="808" w:type="dxa"/>
          </w:tcPr>
          <w:p w:rsidR="00837CC1" w:rsidRPr="00527E0C" w:rsidRDefault="00837CC1" w:rsidP="00837CC1">
            <w:pPr>
              <w:rPr>
                <w:b/>
              </w:rPr>
            </w:pPr>
          </w:p>
        </w:tc>
        <w:tc>
          <w:tcPr>
            <w:tcW w:w="8543" w:type="dxa"/>
          </w:tcPr>
          <w:p w:rsidR="00837CC1" w:rsidRPr="00527E0C" w:rsidRDefault="00900E0F" w:rsidP="00837CC1">
            <w:pPr>
              <w:pStyle w:val="Default"/>
              <w:rPr>
                <w:b/>
                <w:bCs/>
              </w:rPr>
            </w:pPr>
            <w:r>
              <w:rPr>
                <w:bCs/>
              </w:rPr>
              <w:t>There are clear legal bases in place when</w:t>
            </w:r>
            <w:r w:rsidR="00837CC1" w:rsidRPr="00527E0C">
              <w:rPr>
                <w:bCs/>
              </w:rPr>
              <w:t xml:space="preserve"> information sharing is needed for direct healthcare, however this still requires that patients be informed about:</w:t>
            </w:r>
          </w:p>
        </w:tc>
      </w:tr>
      <w:tr w:rsidR="00837CC1" w:rsidRPr="00527E0C" w:rsidTr="00DA5353">
        <w:tc>
          <w:tcPr>
            <w:tcW w:w="808" w:type="dxa"/>
          </w:tcPr>
          <w:p w:rsidR="00837CC1" w:rsidRPr="00527E0C" w:rsidRDefault="00837CC1" w:rsidP="00837CC1">
            <w:pPr>
              <w:rPr>
                <w:b/>
              </w:rPr>
            </w:pPr>
          </w:p>
        </w:tc>
        <w:tc>
          <w:tcPr>
            <w:tcW w:w="8543" w:type="dxa"/>
          </w:tcPr>
          <w:p w:rsidR="00837CC1" w:rsidRPr="00527E0C" w:rsidRDefault="00837CC1" w:rsidP="00837CC1">
            <w:pPr>
              <w:pStyle w:val="Default"/>
              <w:rPr>
                <w:bCs/>
              </w:rPr>
            </w:pPr>
          </w:p>
        </w:tc>
      </w:tr>
      <w:tr w:rsidR="00837CC1" w:rsidRPr="00527E0C" w:rsidTr="00DA5353">
        <w:tc>
          <w:tcPr>
            <w:tcW w:w="808" w:type="dxa"/>
          </w:tcPr>
          <w:p w:rsidR="00837CC1" w:rsidRPr="00527E0C" w:rsidRDefault="00837CC1" w:rsidP="00837CC1">
            <w:pPr>
              <w:rPr>
                <w:b/>
              </w:rPr>
            </w:pPr>
          </w:p>
        </w:tc>
        <w:tc>
          <w:tcPr>
            <w:tcW w:w="8543" w:type="dxa"/>
          </w:tcPr>
          <w:p w:rsidR="00837CC1" w:rsidRPr="00527E0C" w:rsidRDefault="00837CC1" w:rsidP="00837CC1">
            <w:pPr>
              <w:pStyle w:val="BodyTextIndent"/>
              <w:numPr>
                <w:ilvl w:val="0"/>
                <w:numId w:val="6"/>
              </w:numPr>
              <w:rPr>
                <w:rFonts w:cs="Arial"/>
                <w:bCs/>
              </w:rPr>
            </w:pPr>
            <w:r w:rsidRPr="00527E0C">
              <w:rPr>
                <w:rFonts w:cs="Arial"/>
                <w:bCs/>
              </w:rPr>
              <w:t>The use and disclosure of their healthcare information and records.</w:t>
            </w:r>
          </w:p>
          <w:p w:rsidR="00837CC1" w:rsidRPr="00527E0C" w:rsidRDefault="00837CC1" w:rsidP="00837CC1">
            <w:pPr>
              <w:pStyle w:val="BodyTextIndent"/>
              <w:numPr>
                <w:ilvl w:val="0"/>
                <w:numId w:val="6"/>
              </w:numPr>
              <w:rPr>
                <w:rFonts w:cs="Arial"/>
                <w:bCs/>
              </w:rPr>
            </w:pPr>
            <w:r w:rsidRPr="00527E0C">
              <w:rPr>
                <w:rFonts w:cs="Arial"/>
                <w:bCs/>
              </w:rPr>
              <w:t>The choices that they have and the implications of choosing to limit how information may be used or shared.</w:t>
            </w:r>
          </w:p>
          <w:p w:rsidR="00837CC1" w:rsidRPr="00527E0C" w:rsidRDefault="00837CC1" w:rsidP="00837CC1">
            <w:pPr>
              <w:pStyle w:val="BodyTextIndent"/>
              <w:numPr>
                <w:ilvl w:val="0"/>
                <w:numId w:val="6"/>
              </w:numPr>
              <w:rPr>
                <w:rFonts w:cs="Arial"/>
                <w:bCs/>
              </w:rPr>
            </w:pPr>
            <w:r w:rsidRPr="00527E0C">
              <w:rPr>
                <w:rFonts w:cs="Arial"/>
                <w:bCs/>
              </w:rPr>
              <w:t>The breadth of the sharing necessary when care is to be provided by partner agencies and organisations.</w:t>
            </w:r>
          </w:p>
          <w:p w:rsidR="00837CC1" w:rsidRPr="00527E0C" w:rsidRDefault="00837CC1" w:rsidP="00837CC1">
            <w:pPr>
              <w:pStyle w:val="BodyTextIndent"/>
              <w:numPr>
                <w:ilvl w:val="0"/>
                <w:numId w:val="6"/>
              </w:numPr>
              <w:rPr>
                <w:rFonts w:cs="Arial"/>
                <w:bCs/>
              </w:rPr>
            </w:pPr>
            <w:r w:rsidRPr="00527E0C">
              <w:rPr>
                <w:rFonts w:cs="Arial"/>
                <w:bCs/>
              </w:rPr>
              <w:t xml:space="preserve">The potential use of their records for the clinical governance and audit of the care they have received. </w:t>
            </w:r>
          </w:p>
          <w:p w:rsidR="00837CC1" w:rsidRPr="00527E0C" w:rsidRDefault="00837CC1" w:rsidP="00837CC1">
            <w:pPr>
              <w:pStyle w:val="BodyTextIndent"/>
              <w:numPr>
                <w:ilvl w:val="0"/>
                <w:numId w:val="6"/>
              </w:numPr>
              <w:rPr>
                <w:rFonts w:cs="Arial"/>
                <w:bCs/>
              </w:rPr>
            </w:pPr>
            <w:r w:rsidRPr="00527E0C">
              <w:rPr>
                <w:rFonts w:cs="Arial"/>
                <w:bCs/>
              </w:rPr>
              <w:t>Through a privacy notice outlining what information will be shared, the purpose of this, who the data will be shared with, how long data will be retained, the rights of the data subject (including opt-outs) and what security measures are in place to protect confidentiality.</w:t>
            </w:r>
          </w:p>
          <w:p w:rsidR="00837CC1" w:rsidRPr="00527E0C" w:rsidRDefault="00837CC1" w:rsidP="00837CC1">
            <w:pPr>
              <w:pStyle w:val="BodyTextIndent"/>
              <w:numPr>
                <w:ilvl w:val="0"/>
                <w:numId w:val="6"/>
              </w:numPr>
              <w:rPr>
                <w:rFonts w:cs="Arial"/>
                <w:bCs/>
              </w:rPr>
            </w:pPr>
            <w:r w:rsidRPr="00527E0C">
              <w:rPr>
                <w:rFonts w:cs="Arial"/>
                <w:bCs/>
              </w:rPr>
              <w:t>If not for direct care then explicit consent or some other legal basis must be present to enable sharing.</w:t>
            </w:r>
          </w:p>
        </w:tc>
      </w:tr>
      <w:tr w:rsidR="00837CC1" w:rsidRPr="00527E0C" w:rsidTr="00DA5353">
        <w:tc>
          <w:tcPr>
            <w:tcW w:w="808" w:type="dxa"/>
          </w:tcPr>
          <w:p w:rsidR="00837CC1" w:rsidRPr="00527E0C" w:rsidRDefault="00837CC1" w:rsidP="00837CC1">
            <w:pPr>
              <w:rPr>
                <w:b/>
              </w:rPr>
            </w:pPr>
          </w:p>
        </w:tc>
        <w:tc>
          <w:tcPr>
            <w:tcW w:w="8543" w:type="dxa"/>
          </w:tcPr>
          <w:p w:rsidR="00837CC1" w:rsidRPr="00527E0C" w:rsidRDefault="00837CC1" w:rsidP="00837CC1">
            <w:pPr>
              <w:pStyle w:val="BodyTextIndent"/>
              <w:ind w:left="0"/>
              <w:rPr>
                <w:rFonts w:cs="Arial"/>
                <w:b/>
                <w:bCs/>
              </w:rPr>
            </w:pPr>
          </w:p>
        </w:tc>
      </w:tr>
      <w:tr w:rsidR="00837CC1" w:rsidRPr="00527E0C" w:rsidTr="00837CC1">
        <w:tc>
          <w:tcPr>
            <w:tcW w:w="9351" w:type="dxa"/>
            <w:gridSpan w:val="2"/>
          </w:tcPr>
          <w:p w:rsidR="00837CC1" w:rsidRPr="00527E0C" w:rsidRDefault="00837CC1" w:rsidP="00B63368">
            <w:pPr>
              <w:pStyle w:val="Heading3"/>
            </w:pPr>
            <w:r w:rsidRPr="00527E0C">
              <w:tab/>
            </w:r>
            <w:bookmarkStart w:id="14" w:name="_Toc496602612"/>
            <w:r w:rsidR="00B63368" w:rsidRPr="00527E0C">
              <w:t>6</w:t>
            </w:r>
            <w:r w:rsidRPr="00527E0C">
              <w:t>.3 Using and Disclosing Confidential Staff Information</w:t>
            </w:r>
            <w:bookmarkEnd w:id="14"/>
          </w:p>
        </w:tc>
      </w:tr>
      <w:tr w:rsidR="00837CC1" w:rsidRPr="00527E0C" w:rsidTr="00DA5353">
        <w:tc>
          <w:tcPr>
            <w:tcW w:w="808" w:type="dxa"/>
          </w:tcPr>
          <w:p w:rsidR="00837CC1" w:rsidRPr="00527E0C" w:rsidRDefault="00837CC1" w:rsidP="00837CC1">
            <w:pPr>
              <w:rPr>
                <w:b/>
              </w:rPr>
            </w:pPr>
          </w:p>
        </w:tc>
        <w:tc>
          <w:tcPr>
            <w:tcW w:w="8543" w:type="dxa"/>
          </w:tcPr>
          <w:p w:rsidR="00837CC1" w:rsidRPr="00527E0C" w:rsidRDefault="00837CC1" w:rsidP="00837CC1">
            <w:pPr>
              <w:pStyle w:val="BodyTextIndent"/>
              <w:ind w:left="0"/>
              <w:rPr>
                <w:rFonts w:cs="Arial"/>
                <w:b/>
                <w:bCs/>
              </w:rPr>
            </w:pPr>
          </w:p>
        </w:tc>
      </w:tr>
      <w:tr w:rsidR="00837CC1" w:rsidRPr="00527E0C" w:rsidTr="00DA5353">
        <w:tc>
          <w:tcPr>
            <w:tcW w:w="808" w:type="dxa"/>
          </w:tcPr>
          <w:p w:rsidR="00837CC1" w:rsidRPr="00527E0C" w:rsidRDefault="00837CC1" w:rsidP="00837CC1">
            <w:pPr>
              <w:rPr>
                <w:b/>
              </w:rPr>
            </w:pPr>
          </w:p>
        </w:tc>
        <w:tc>
          <w:tcPr>
            <w:tcW w:w="8543" w:type="dxa"/>
          </w:tcPr>
          <w:p w:rsidR="00837CC1" w:rsidRPr="00527E0C" w:rsidRDefault="00837CC1" w:rsidP="00837CC1">
            <w:pPr>
              <w:pStyle w:val="BodyTextIndent"/>
              <w:ind w:left="0"/>
              <w:rPr>
                <w:rFonts w:cs="Arial"/>
                <w:bCs/>
              </w:rPr>
            </w:pPr>
            <w:r w:rsidRPr="00527E0C">
              <w:rPr>
                <w:rFonts w:cs="Arial"/>
                <w:bCs/>
              </w:rPr>
              <w:t xml:space="preserve">Processing of personal data where the information sharing is needed for direct communications related to their role, salary payment and pension arrangements, is lawful.  Staff should be made aware that disclosures may </w:t>
            </w:r>
            <w:r w:rsidRPr="00527E0C">
              <w:rPr>
                <w:rFonts w:cs="Arial"/>
                <w:bCs/>
              </w:rPr>
              <w:lastRenderedPageBreak/>
              <w:t>need to be made for legal reasons, to professional regulatory bodies and in response to certain categories of freedom of information requested where the public interest in disclosure is deemed to override confidentiality considerations.</w:t>
            </w:r>
          </w:p>
          <w:p w:rsidR="00837CC1" w:rsidRPr="00527E0C" w:rsidRDefault="00837CC1" w:rsidP="00837CC1">
            <w:pPr>
              <w:pStyle w:val="BodyTextIndent"/>
              <w:ind w:left="0"/>
              <w:rPr>
                <w:rFonts w:cs="Arial"/>
                <w:bCs/>
              </w:rPr>
            </w:pPr>
          </w:p>
          <w:p w:rsidR="00837CC1" w:rsidRPr="00527E0C" w:rsidRDefault="00837CC1" w:rsidP="00837CC1">
            <w:pPr>
              <w:pStyle w:val="BodyTextIndent"/>
              <w:ind w:left="0"/>
              <w:rPr>
                <w:rFonts w:cs="Arial"/>
                <w:bCs/>
              </w:rPr>
            </w:pPr>
            <w:r w:rsidRPr="00527E0C">
              <w:rPr>
                <w:rFonts w:cs="Arial"/>
                <w:bCs/>
              </w:rPr>
              <w:t>Using staff information for other purposes must be subject to explicit consent being granted unless another legal basis permits this.</w:t>
            </w:r>
          </w:p>
        </w:tc>
      </w:tr>
      <w:tr w:rsidR="00837CC1" w:rsidRPr="00527E0C" w:rsidTr="00DA5353">
        <w:tc>
          <w:tcPr>
            <w:tcW w:w="808" w:type="dxa"/>
          </w:tcPr>
          <w:p w:rsidR="00837CC1" w:rsidRPr="00527E0C" w:rsidRDefault="00837CC1" w:rsidP="00837CC1">
            <w:pPr>
              <w:rPr>
                <w:b/>
              </w:rPr>
            </w:pPr>
          </w:p>
        </w:tc>
        <w:tc>
          <w:tcPr>
            <w:tcW w:w="8543" w:type="dxa"/>
          </w:tcPr>
          <w:p w:rsidR="00837CC1" w:rsidRPr="00527E0C" w:rsidRDefault="00837CC1" w:rsidP="00837CC1">
            <w:pPr>
              <w:pStyle w:val="BodyTextIndent"/>
              <w:ind w:left="0"/>
              <w:rPr>
                <w:rFonts w:cs="Arial"/>
                <w:bCs/>
              </w:rPr>
            </w:pPr>
          </w:p>
        </w:tc>
      </w:tr>
      <w:tr w:rsidR="00837CC1" w:rsidRPr="00527E0C" w:rsidTr="00837CC1">
        <w:tc>
          <w:tcPr>
            <w:tcW w:w="9351" w:type="dxa"/>
            <w:gridSpan w:val="2"/>
          </w:tcPr>
          <w:p w:rsidR="00837CC1" w:rsidRPr="00527E0C" w:rsidRDefault="00837CC1" w:rsidP="00B63368">
            <w:pPr>
              <w:pStyle w:val="Heading3"/>
            </w:pPr>
            <w:r w:rsidRPr="00527E0C">
              <w:tab/>
            </w:r>
            <w:bookmarkStart w:id="15" w:name="_Toc496602613"/>
            <w:r w:rsidR="00B63368" w:rsidRPr="00527E0C">
              <w:t>6</w:t>
            </w:r>
            <w:r w:rsidRPr="00527E0C">
              <w:t>.4 Using and Disclosing Corporate and Business Information</w:t>
            </w:r>
            <w:bookmarkEnd w:id="15"/>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BodyTextIndent"/>
              <w:ind w:left="0"/>
              <w:rPr>
                <w:rFonts w:cs="Arial"/>
                <w:b/>
                <w:bCs/>
              </w:rPr>
            </w:pPr>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BodyTextIndent"/>
              <w:ind w:left="0"/>
              <w:rPr>
                <w:rFonts w:cs="Arial"/>
                <w:bCs/>
              </w:rPr>
            </w:pPr>
            <w:r w:rsidRPr="00527E0C">
              <w:rPr>
                <w:rFonts w:cs="Arial"/>
                <w:bCs/>
              </w:rPr>
              <w:t xml:space="preserve">All staff should consider all information which they come into contact with through the course of their work as confidential and its usage and any disclosure would be in line with agreed duties and for authorised work purposes. </w:t>
            </w:r>
          </w:p>
          <w:p w:rsidR="00837CC1" w:rsidRPr="00527E0C" w:rsidRDefault="00837CC1" w:rsidP="00837CC1">
            <w:pPr>
              <w:pStyle w:val="BodyTextIndent"/>
              <w:ind w:left="0"/>
              <w:rPr>
                <w:rFonts w:cs="Arial"/>
                <w:bCs/>
              </w:rPr>
            </w:pPr>
          </w:p>
          <w:p w:rsidR="00837CC1" w:rsidRPr="00527E0C" w:rsidRDefault="00837CC1" w:rsidP="00837CC1">
            <w:pPr>
              <w:pStyle w:val="BodyTextIndent"/>
              <w:ind w:left="0"/>
              <w:rPr>
                <w:rFonts w:cs="Arial"/>
                <w:b/>
                <w:bCs/>
              </w:rPr>
            </w:pPr>
            <w:r w:rsidRPr="00527E0C">
              <w:rPr>
                <w:rFonts w:cs="Arial"/>
              </w:rPr>
              <w:t xml:space="preserve">Corporate information could be accessible through the Freedom of Information Act either from the </w:t>
            </w:r>
            <w:r w:rsidR="00287C0B">
              <w:rPr>
                <w:rFonts w:cs="Arial"/>
              </w:rPr>
              <w:t>Practice</w:t>
            </w:r>
            <w:r w:rsidRPr="00527E0C">
              <w:rPr>
                <w:rFonts w:cs="Arial"/>
              </w:rPr>
              <w:t xml:space="preserve"> responding to a request for information or through making information accessible via the </w:t>
            </w:r>
            <w:r w:rsidR="00287C0B">
              <w:rPr>
                <w:rFonts w:cs="Arial"/>
              </w:rPr>
              <w:t>Practice</w:t>
            </w:r>
            <w:r w:rsidRPr="00527E0C">
              <w:rPr>
                <w:rFonts w:cs="Arial"/>
              </w:rPr>
              <w:t xml:space="preserve"> Freedom of Information Publication Scheme.</w:t>
            </w:r>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BodyTextIndent"/>
              <w:ind w:left="0"/>
              <w:rPr>
                <w:rFonts w:cs="Arial"/>
                <w:bCs/>
              </w:rPr>
            </w:pPr>
          </w:p>
        </w:tc>
      </w:tr>
      <w:tr w:rsidR="00837CC1" w:rsidRPr="00527E0C" w:rsidTr="00837CC1">
        <w:tc>
          <w:tcPr>
            <w:tcW w:w="9351" w:type="dxa"/>
            <w:gridSpan w:val="2"/>
          </w:tcPr>
          <w:p w:rsidR="00837CC1" w:rsidRPr="00527E0C" w:rsidRDefault="00837CC1" w:rsidP="00837CC1">
            <w:pPr>
              <w:pStyle w:val="Heading3"/>
            </w:pPr>
            <w:r w:rsidRPr="00527E0C">
              <w:tab/>
            </w:r>
            <w:bookmarkStart w:id="16" w:name="_Toc496602614"/>
            <w:r w:rsidR="00B63368" w:rsidRPr="00527E0C">
              <w:t>6</w:t>
            </w:r>
            <w:r w:rsidRPr="00527E0C">
              <w:t>.5 Information Security</w:t>
            </w:r>
            <w:bookmarkEnd w:id="16"/>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BodyTextIndent"/>
              <w:ind w:left="0"/>
              <w:rPr>
                <w:rFonts w:cs="Arial"/>
                <w:b/>
                <w:bCs/>
              </w:rPr>
            </w:pPr>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BodyTextIndent"/>
              <w:ind w:left="0"/>
              <w:rPr>
                <w:rFonts w:cs="Arial"/>
                <w:bCs/>
              </w:rPr>
            </w:pPr>
            <w:r w:rsidRPr="00527E0C">
              <w:rPr>
                <w:rFonts w:cs="Arial"/>
                <w:bCs/>
              </w:rPr>
              <w:t xml:space="preserve">Rules and guidance on information security are set out in </w:t>
            </w:r>
          </w:p>
          <w:p w:rsidR="00837CC1" w:rsidRPr="00527E0C" w:rsidRDefault="00837CC1" w:rsidP="00837CC1">
            <w:pPr>
              <w:pStyle w:val="BodyTextIndent"/>
              <w:ind w:left="0"/>
              <w:rPr>
                <w:rFonts w:cs="Arial"/>
                <w:bCs/>
              </w:rPr>
            </w:pPr>
          </w:p>
          <w:p w:rsidR="00837CC1" w:rsidRPr="00527E0C" w:rsidRDefault="00837CC1" w:rsidP="00837CC1">
            <w:pPr>
              <w:pStyle w:val="BodyTextIndent"/>
              <w:numPr>
                <w:ilvl w:val="0"/>
                <w:numId w:val="14"/>
              </w:numPr>
              <w:ind w:left="360"/>
              <w:rPr>
                <w:rFonts w:cs="Arial"/>
                <w:bCs/>
              </w:rPr>
            </w:pPr>
            <w:r w:rsidRPr="00527E0C">
              <w:rPr>
                <w:rFonts w:cs="Arial"/>
                <w:b/>
                <w:bCs/>
              </w:rPr>
              <w:t>The Information Security Policy</w:t>
            </w:r>
            <w:r w:rsidRPr="00527E0C">
              <w:rPr>
                <w:rFonts w:cs="Arial"/>
                <w:bCs/>
              </w:rPr>
              <w:t xml:space="preserve"> - sets rules, guidance and good practice on ensuring security of information in the workplace, on areas such as portable devices, email, paper and electronic systems.</w:t>
            </w:r>
          </w:p>
          <w:p w:rsidR="00837CC1" w:rsidRPr="00527E0C" w:rsidRDefault="00837CC1" w:rsidP="00837CC1">
            <w:pPr>
              <w:pStyle w:val="BodyTextIndent"/>
              <w:numPr>
                <w:ilvl w:val="0"/>
                <w:numId w:val="14"/>
              </w:numPr>
              <w:ind w:left="360"/>
              <w:rPr>
                <w:rFonts w:cs="Arial"/>
                <w:bCs/>
              </w:rPr>
            </w:pPr>
            <w:r w:rsidRPr="00527E0C">
              <w:rPr>
                <w:rFonts w:cs="Arial"/>
                <w:b/>
                <w:bCs/>
              </w:rPr>
              <w:t>The Records Management and Information Lifecycle Policy</w:t>
            </w:r>
            <w:r w:rsidRPr="00527E0C">
              <w:rPr>
                <w:rFonts w:cs="Arial"/>
                <w:bCs/>
              </w:rPr>
              <w:t xml:space="preserve"> – includes sections on transfer of, storage and archival of records.</w:t>
            </w:r>
          </w:p>
        </w:tc>
      </w:tr>
      <w:tr w:rsidR="00837CC1" w:rsidRPr="00527E0C" w:rsidTr="00DA5353">
        <w:tc>
          <w:tcPr>
            <w:tcW w:w="808" w:type="dxa"/>
          </w:tcPr>
          <w:p w:rsidR="00837CC1" w:rsidRPr="00527E0C" w:rsidRDefault="00837CC1" w:rsidP="00837CC1">
            <w:pPr>
              <w:rPr>
                <w:b/>
              </w:rPr>
            </w:pPr>
          </w:p>
        </w:tc>
        <w:tc>
          <w:tcPr>
            <w:tcW w:w="8543" w:type="dxa"/>
          </w:tcPr>
          <w:p w:rsidR="00837CC1" w:rsidRPr="00527E0C" w:rsidRDefault="00837CC1" w:rsidP="00837CC1">
            <w:pPr>
              <w:pStyle w:val="Default"/>
              <w:rPr>
                <w:b/>
              </w:rPr>
            </w:pPr>
          </w:p>
        </w:tc>
      </w:tr>
      <w:tr w:rsidR="00837CC1" w:rsidRPr="00527E0C" w:rsidTr="00837CC1">
        <w:tc>
          <w:tcPr>
            <w:tcW w:w="9351" w:type="dxa"/>
            <w:gridSpan w:val="2"/>
          </w:tcPr>
          <w:p w:rsidR="00837CC1" w:rsidRPr="00527E0C" w:rsidRDefault="00837CC1" w:rsidP="00837CC1">
            <w:pPr>
              <w:pStyle w:val="Heading3"/>
            </w:pPr>
            <w:r w:rsidRPr="00527E0C">
              <w:tab/>
            </w:r>
            <w:bookmarkStart w:id="17" w:name="_Toc496602615"/>
            <w:r w:rsidR="00B63368" w:rsidRPr="00527E0C">
              <w:t>6</w:t>
            </w:r>
            <w:r w:rsidRPr="00527E0C">
              <w:t>.6 Sharing Confidential Information Without Consent</w:t>
            </w:r>
            <w:bookmarkEnd w:id="17"/>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BodyTextIndent"/>
              <w:ind w:left="0"/>
              <w:rPr>
                <w:rFonts w:cs="Arial"/>
                <w:bCs/>
              </w:rPr>
            </w:pPr>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BodyTextIndent"/>
              <w:ind w:left="0"/>
              <w:rPr>
                <w:rFonts w:cs="Arial"/>
                <w:bCs/>
              </w:rPr>
            </w:pPr>
            <w:r w:rsidRPr="00527E0C">
              <w:rPr>
                <w:rFonts w:cs="Arial"/>
                <w:bCs/>
              </w:rPr>
              <w:t>It may sometimes be necessary to share confidential information without consent or where the individual has explicitly refused consent.  There must be a legal basis for doing so (e.g.  to safeguard a child) or a court order must be in place. In deciding on any disclosure certain considerations and steps need to be taken:</w:t>
            </w:r>
          </w:p>
          <w:p w:rsidR="00837CC1" w:rsidRPr="00527E0C" w:rsidRDefault="00837CC1" w:rsidP="00837CC1">
            <w:pPr>
              <w:pStyle w:val="BodyTextIndent"/>
              <w:ind w:left="0"/>
              <w:rPr>
                <w:rFonts w:cs="Arial"/>
                <w:bCs/>
              </w:rPr>
            </w:pPr>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BodyTextIndent"/>
              <w:numPr>
                <w:ilvl w:val="0"/>
                <w:numId w:val="7"/>
              </w:numPr>
              <w:ind w:left="360"/>
              <w:rPr>
                <w:rFonts w:cs="Arial"/>
                <w:bCs/>
              </w:rPr>
            </w:pPr>
            <w:r w:rsidRPr="00527E0C">
              <w:rPr>
                <w:rFonts w:cs="Arial"/>
                <w:bCs/>
              </w:rPr>
              <w:t>Discuss the request with the appropriate personnel such as the Caldicott Guardian</w:t>
            </w:r>
            <w:r w:rsidR="00900E0F">
              <w:rPr>
                <w:rFonts w:cs="Arial"/>
                <w:bCs/>
              </w:rPr>
              <w:t xml:space="preserve"> and/or IG Lead</w:t>
            </w:r>
            <w:r w:rsidRPr="00527E0C">
              <w:rPr>
                <w:rFonts w:cs="Arial"/>
                <w:bCs/>
              </w:rPr>
              <w:t>.</w:t>
            </w:r>
          </w:p>
          <w:p w:rsidR="00837CC1" w:rsidRPr="00527E0C" w:rsidRDefault="00837CC1" w:rsidP="00837CC1">
            <w:pPr>
              <w:pStyle w:val="BodyTextIndent"/>
              <w:numPr>
                <w:ilvl w:val="0"/>
                <w:numId w:val="7"/>
              </w:numPr>
              <w:ind w:left="360"/>
              <w:rPr>
                <w:rFonts w:cs="Arial"/>
                <w:bCs/>
              </w:rPr>
            </w:pPr>
            <w:r w:rsidRPr="00527E0C">
              <w:rPr>
                <w:rFonts w:cs="Arial"/>
                <w:bCs/>
              </w:rPr>
              <w:t>Disclose only that information which is necessary or prescribed by law.</w:t>
            </w:r>
          </w:p>
          <w:p w:rsidR="00837CC1" w:rsidRPr="00527E0C" w:rsidRDefault="00837CC1" w:rsidP="00837CC1">
            <w:pPr>
              <w:pStyle w:val="BodyTextIndent"/>
              <w:numPr>
                <w:ilvl w:val="0"/>
                <w:numId w:val="7"/>
              </w:numPr>
              <w:ind w:left="360"/>
              <w:rPr>
                <w:rFonts w:cs="Arial"/>
                <w:bCs/>
              </w:rPr>
            </w:pPr>
            <w:r w:rsidRPr="00527E0C">
              <w:rPr>
                <w:rFonts w:cs="Arial"/>
                <w:bCs/>
              </w:rPr>
              <w:t>Ensure recipient is aware that they owe a duty of confidentiality to the information.</w:t>
            </w:r>
          </w:p>
          <w:p w:rsidR="00837CC1" w:rsidRPr="00527E0C" w:rsidRDefault="00837CC1" w:rsidP="00837CC1">
            <w:pPr>
              <w:pStyle w:val="BodyTextIndent"/>
              <w:numPr>
                <w:ilvl w:val="0"/>
                <w:numId w:val="7"/>
              </w:numPr>
              <w:ind w:left="360"/>
              <w:rPr>
                <w:rFonts w:cs="Arial"/>
                <w:bCs/>
              </w:rPr>
            </w:pPr>
            <w:r w:rsidRPr="00527E0C">
              <w:rPr>
                <w:rFonts w:cs="Arial"/>
                <w:bCs/>
              </w:rPr>
              <w:t>Document and justify the decision to release the information.</w:t>
            </w:r>
          </w:p>
          <w:p w:rsidR="00837CC1" w:rsidRPr="00527E0C" w:rsidRDefault="00837CC1" w:rsidP="00837CC1">
            <w:pPr>
              <w:pStyle w:val="BodyTextIndent"/>
              <w:numPr>
                <w:ilvl w:val="0"/>
                <w:numId w:val="7"/>
              </w:numPr>
              <w:ind w:left="360"/>
              <w:rPr>
                <w:rFonts w:cs="Arial"/>
                <w:bCs/>
              </w:rPr>
            </w:pPr>
            <w:r w:rsidRPr="00527E0C">
              <w:rPr>
                <w:rFonts w:cs="Arial"/>
                <w:bCs/>
              </w:rPr>
              <w:t>Take advice in relation to any concerns you may have about risks of significant harm if information is not disclosed.</w:t>
            </w:r>
          </w:p>
          <w:p w:rsidR="00837CC1" w:rsidRPr="00527E0C" w:rsidRDefault="00837CC1" w:rsidP="00837CC1">
            <w:pPr>
              <w:pStyle w:val="BodyTextIndent"/>
              <w:numPr>
                <w:ilvl w:val="0"/>
                <w:numId w:val="7"/>
              </w:numPr>
              <w:ind w:left="360"/>
              <w:rPr>
                <w:rFonts w:cs="Arial"/>
                <w:bCs/>
              </w:rPr>
            </w:pPr>
            <w:r w:rsidRPr="00527E0C">
              <w:rPr>
                <w:rFonts w:cs="Arial"/>
                <w:bCs/>
              </w:rPr>
              <w:t>Follow any locally agreed Information Sharing Protocols and national guidance.</w:t>
            </w:r>
          </w:p>
          <w:p w:rsidR="00837CC1" w:rsidRPr="00527E0C" w:rsidRDefault="00837CC1" w:rsidP="00837CC1">
            <w:pPr>
              <w:pStyle w:val="BodyTextIndent"/>
              <w:ind w:left="0"/>
              <w:rPr>
                <w:rFonts w:cs="Arial"/>
                <w:bCs/>
              </w:rPr>
            </w:pPr>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BodyTextIndent"/>
              <w:ind w:left="0"/>
              <w:rPr>
                <w:rFonts w:cs="Arial"/>
                <w:bCs/>
              </w:rPr>
            </w:pPr>
            <w:r w:rsidRPr="00527E0C">
              <w:rPr>
                <w:rFonts w:cs="Arial"/>
                <w:bCs/>
              </w:rPr>
              <w:t>Requests may be received by other agencies which are related to law enforcement such as:</w:t>
            </w:r>
          </w:p>
          <w:p w:rsidR="00837CC1" w:rsidRPr="00527E0C" w:rsidRDefault="00837CC1" w:rsidP="00837CC1">
            <w:pPr>
              <w:pStyle w:val="BodyTextIndent"/>
              <w:ind w:left="0"/>
              <w:rPr>
                <w:rFonts w:cs="Arial"/>
                <w:bCs/>
              </w:rPr>
            </w:pPr>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BodyTextIndent"/>
              <w:numPr>
                <w:ilvl w:val="0"/>
                <w:numId w:val="18"/>
              </w:numPr>
              <w:rPr>
                <w:rFonts w:cs="Arial"/>
                <w:bCs/>
              </w:rPr>
            </w:pPr>
            <w:r w:rsidRPr="00527E0C">
              <w:rPr>
                <w:rFonts w:cs="Arial"/>
                <w:bCs/>
              </w:rPr>
              <w:t xml:space="preserve">The Police or another enforcement agency where the appropriate request form (in line with the Access to Records Procedure) needs to be submitted from the law enforcement agency in order for the </w:t>
            </w:r>
            <w:r w:rsidR="00287C0B">
              <w:rPr>
                <w:rFonts w:cs="Arial"/>
                <w:bCs/>
              </w:rPr>
              <w:t>Practice</w:t>
            </w:r>
            <w:r w:rsidRPr="00527E0C">
              <w:rPr>
                <w:rFonts w:cs="Arial"/>
                <w:bCs/>
              </w:rPr>
              <w:t xml:space="preserve"> to consider the request.</w:t>
            </w:r>
          </w:p>
          <w:p w:rsidR="00837CC1" w:rsidRPr="00527E0C" w:rsidRDefault="00837CC1" w:rsidP="00837CC1">
            <w:pPr>
              <w:pStyle w:val="BodyTextIndent"/>
              <w:numPr>
                <w:ilvl w:val="0"/>
                <w:numId w:val="18"/>
              </w:numPr>
              <w:rPr>
                <w:rFonts w:cs="Arial"/>
                <w:bCs/>
              </w:rPr>
            </w:pPr>
            <w:r w:rsidRPr="00527E0C">
              <w:rPr>
                <w:rFonts w:cs="Arial"/>
                <w:bCs/>
              </w:rPr>
              <w:t>The Local and National Counter Fraud specialists in relation to any actual or suspected fraudulent activity.</w:t>
            </w:r>
          </w:p>
          <w:p w:rsidR="00837CC1" w:rsidRPr="00527E0C" w:rsidRDefault="00837CC1" w:rsidP="00837CC1">
            <w:pPr>
              <w:pStyle w:val="BodyTextIndent"/>
              <w:ind w:left="0"/>
              <w:rPr>
                <w:rFonts w:cs="Arial"/>
                <w:bCs/>
              </w:rPr>
            </w:pPr>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rPr>
                <w:bCs/>
              </w:rPr>
            </w:pPr>
            <w:r w:rsidRPr="00527E0C">
              <w:rPr>
                <w:bCs/>
              </w:rPr>
              <w:t>Staff should also take into account the seventh Caldicott principle and Information Governance Alliance guidance if there is a clear legal basis to share.</w:t>
            </w:r>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ind w:left="360"/>
              <w:rPr>
                <w:bCs/>
              </w:rPr>
            </w:pPr>
          </w:p>
        </w:tc>
      </w:tr>
      <w:tr w:rsidR="00837CC1" w:rsidRPr="00527E0C" w:rsidTr="00837CC1">
        <w:tc>
          <w:tcPr>
            <w:tcW w:w="9351" w:type="dxa"/>
            <w:gridSpan w:val="2"/>
          </w:tcPr>
          <w:p w:rsidR="00837CC1" w:rsidRPr="00527E0C" w:rsidRDefault="00837CC1" w:rsidP="00837CC1">
            <w:pPr>
              <w:pStyle w:val="Heading3"/>
            </w:pPr>
            <w:r w:rsidRPr="00527E0C">
              <w:tab/>
            </w:r>
            <w:bookmarkStart w:id="18" w:name="_Toc496602616"/>
            <w:r w:rsidR="00B63368" w:rsidRPr="00527E0C">
              <w:t>6</w:t>
            </w:r>
            <w:r w:rsidRPr="00527E0C">
              <w:t>.7 Confidentiality and Conversations</w:t>
            </w:r>
            <w:bookmarkEnd w:id="18"/>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BodyTextIndent"/>
              <w:ind w:left="0"/>
              <w:rPr>
                <w:rFonts w:cs="Arial"/>
                <w:b/>
                <w:bCs/>
              </w:rPr>
            </w:pPr>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BodyTextIndent"/>
              <w:ind w:left="0"/>
              <w:rPr>
                <w:rFonts w:cs="Arial"/>
                <w:bCs/>
              </w:rPr>
            </w:pPr>
            <w:r w:rsidRPr="00527E0C">
              <w:rPr>
                <w:rFonts w:cs="Arial"/>
                <w:bCs/>
              </w:rPr>
              <w:t>Where during the course of your work you have conversations relating to confidential matters which may involve discussing (or disclosing information about) individuals such as patients</w:t>
            </w:r>
            <w:r w:rsidR="00900E0F">
              <w:rPr>
                <w:rFonts w:cs="Arial"/>
                <w:bCs/>
              </w:rPr>
              <w:t xml:space="preserve"> or staff members</w:t>
            </w:r>
            <w:r w:rsidRPr="00527E0C">
              <w:rPr>
                <w:rFonts w:cs="Arial"/>
                <w:bCs/>
              </w:rPr>
              <w:t xml:space="preserve"> you must ensure:</w:t>
            </w:r>
          </w:p>
          <w:p w:rsidR="00837CC1" w:rsidRPr="00527E0C" w:rsidRDefault="00837CC1" w:rsidP="00837CC1">
            <w:pPr>
              <w:pStyle w:val="BodyTextIndent"/>
              <w:ind w:left="0"/>
              <w:rPr>
                <w:rFonts w:cs="Arial"/>
                <w:b/>
                <w:bCs/>
              </w:rPr>
            </w:pPr>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BodyTextIndent"/>
              <w:numPr>
                <w:ilvl w:val="0"/>
                <w:numId w:val="19"/>
              </w:numPr>
              <w:rPr>
                <w:rFonts w:cs="Arial"/>
                <w:bCs/>
              </w:rPr>
            </w:pPr>
            <w:r w:rsidRPr="00527E0C">
              <w:rPr>
                <w:rFonts w:cs="Arial"/>
                <w:bCs/>
              </w:rPr>
              <w:t>Check individuals contact preferences</w:t>
            </w:r>
          </w:p>
          <w:p w:rsidR="00837CC1" w:rsidRPr="00527E0C" w:rsidRDefault="00837CC1" w:rsidP="00837CC1">
            <w:pPr>
              <w:pStyle w:val="BodyTextIndent"/>
              <w:numPr>
                <w:ilvl w:val="0"/>
                <w:numId w:val="19"/>
              </w:numPr>
              <w:rPr>
                <w:rFonts w:cs="Arial"/>
                <w:bCs/>
              </w:rPr>
            </w:pPr>
            <w:r w:rsidRPr="00527E0C">
              <w:rPr>
                <w:rFonts w:cs="Arial"/>
                <w:bCs/>
              </w:rPr>
              <w:t xml:space="preserve">That such discussions take place where they cannot be overheard. </w:t>
            </w:r>
          </w:p>
          <w:p w:rsidR="00837CC1" w:rsidRPr="00527E0C" w:rsidRDefault="00837CC1" w:rsidP="00837CC1">
            <w:pPr>
              <w:pStyle w:val="BodyTextIndent"/>
              <w:numPr>
                <w:ilvl w:val="0"/>
                <w:numId w:val="19"/>
              </w:numPr>
              <w:rPr>
                <w:rFonts w:cs="Arial"/>
                <w:bCs/>
              </w:rPr>
            </w:pPr>
            <w:r w:rsidRPr="00527E0C">
              <w:rPr>
                <w:rFonts w:cs="Arial"/>
                <w:bCs/>
              </w:rPr>
              <w:t>That for telephone calls the rule is you do not give out confidential information over the phone - unless you are certain as to the identity of the caller and they have a legal basis to receive such information (e.g. you may need to speak with another team member on the phone who is based at another location).</w:t>
            </w:r>
          </w:p>
          <w:p w:rsidR="00837CC1" w:rsidRPr="00527E0C" w:rsidRDefault="00837CC1" w:rsidP="00837CC1">
            <w:pPr>
              <w:pStyle w:val="BodyTextIndent"/>
              <w:numPr>
                <w:ilvl w:val="0"/>
                <w:numId w:val="19"/>
              </w:numPr>
              <w:rPr>
                <w:rFonts w:cs="Arial"/>
                <w:bCs/>
              </w:rPr>
            </w:pPr>
            <w:r w:rsidRPr="00527E0C">
              <w:rPr>
                <w:rFonts w:cs="Arial"/>
                <w:bCs/>
              </w:rPr>
              <w:t>Where you receive a request over the telephone for confidential information ask the caller to put the request in writing so details can be verified.</w:t>
            </w:r>
          </w:p>
          <w:p w:rsidR="00837CC1" w:rsidRPr="00527E0C" w:rsidRDefault="00837CC1" w:rsidP="00837CC1">
            <w:pPr>
              <w:pStyle w:val="BodyTextIndent"/>
              <w:numPr>
                <w:ilvl w:val="0"/>
                <w:numId w:val="19"/>
              </w:numPr>
              <w:rPr>
                <w:rFonts w:cs="Arial"/>
                <w:bCs/>
              </w:rPr>
            </w:pPr>
            <w:r w:rsidRPr="00527E0C">
              <w:rPr>
                <w:rFonts w:cs="Arial"/>
                <w:bCs/>
              </w:rPr>
              <w:t>That you do not discuss confidential work matters in public places or at social occasions.</w:t>
            </w:r>
          </w:p>
          <w:p w:rsidR="00837CC1" w:rsidRPr="00527E0C" w:rsidRDefault="00837CC1" w:rsidP="00900E0F">
            <w:pPr>
              <w:pStyle w:val="ListParagraph"/>
              <w:numPr>
                <w:ilvl w:val="0"/>
                <w:numId w:val="19"/>
              </w:numPr>
              <w:ind w:left="357" w:hanging="357"/>
              <w:rPr>
                <w:rFonts w:cs="Arial"/>
                <w:sz w:val="24"/>
                <w:szCs w:val="24"/>
              </w:rPr>
            </w:pPr>
            <w:r w:rsidRPr="00527E0C">
              <w:rPr>
                <w:rFonts w:cs="Arial"/>
                <w:bCs/>
                <w:sz w:val="24"/>
                <w:szCs w:val="24"/>
              </w:rPr>
              <w:t>Where an answer phone is used e</w:t>
            </w:r>
            <w:r w:rsidRPr="00527E0C">
              <w:rPr>
                <w:rFonts w:cs="Arial"/>
                <w:sz w:val="24"/>
                <w:szCs w:val="24"/>
              </w:rPr>
              <w:t xml:space="preserve">nsure that recorded conversations on cannot be overheard or otherwise inappropriately accessed. </w:t>
            </w:r>
          </w:p>
        </w:tc>
      </w:tr>
      <w:tr w:rsidR="00837CC1" w:rsidRPr="00527E0C" w:rsidTr="00DA5353">
        <w:tc>
          <w:tcPr>
            <w:tcW w:w="808" w:type="dxa"/>
          </w:tcPr>
          <w:p w:rsidR="00837CC1" w:rsidRPr="00527E0C" w:rsidRDefault="00837CC1" w:rsidP="00837CC1">
            <w:pPr>
              <w:rPr>
                <w:b/>
              </w:rPr>
            </w:pPr>
          </w:p>
        </w:tc>
        <w:tc>
          <w:tcPr>
            <w:tcW w:w="8543" w:type="dxa"/>
          </w:tcPr>
          <w:p w:rsidR="00837CC1" w:rsidRPr="00527E0C" w:rsidRDefault="00837CC1" w:rsidP="00837CC1">
            <w:pPr>
              <w:pStyle w:val="Default"/>
              <w:rPr>
                <w:b/>
              </w:rPr>
            </w:pPr>
          </w:p>
        </w:tc>
      </w:tr>
      <w:tr w:rsidR="00837CC1" w:rsidRPr="00527E0C" w:rsidTr="00837CC1">
        <w:tc>
          <w:tcPr>
            <w:tcW w:w="9351" w:type="dxa"/>
            <w:gridSpan w:val="2"/>
          </w:tcPr>
          <w:p w:rsidR="00837CC1" w:rsidRPr="00527E0C" w:rsidRDefault="00837CC1" w:rsidP="00B63368">
            <w:pPr>
              <w:pStyle w:val="Heading3"/>
            </w:pPr>
            <w:r w:rsidRPr="00527E0C">
              <w:tab/>
            </w:r>
            <w:bookmarkStart w:id="19" w:name="_Toc496602617"/>
            <w:r w:rsidR="00B63368" w:rsidRPr="00527E0C">
              <w:t>6</w:t>
            </w:r>
            <w:r w:rsidRPr="00527E0C">
              <w:t>.8 Records Management</w:t>
            </w:r>
            <w:bookmarkEnd w:id="19"/>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BodyTextIndent"/>
              <w:ind w:left="0"/>
              <w:rPr>
                <w:rFonts w:cs="Arial"/>
                <w:b/>
                <w:bCs/>
              </w:rPr>
            </w:pPr>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BodyTextIndent"/>
              <w:ind w:left="0"/>
              <w:rPr>
                <w:rFonts w:cs="Arial"/>
                <w:bCs/>
              </w:rPr>
            </w:pPr>
            <w:r w:rsidRPr="00527E0C">
              <w:rPr>
                <w:rFonts w:cs="Arial"/>
                <w:bCs/>
              </w:rPr>
              <w:t xml:space="preserve">The </w:t>
            </w:r>
            <w:r w:rsidR="00287C0B">
              <w:rPr>
                <w:rFonts w:cs="Arial"/>
                <w:bCs/>
              </w:rPr>
              <w:t>Practice</w:t>
            </w:r>
            <w:r w:rsidRPr="00527E0C">
              <w:rPr>
                <w:rFonts w:cs="Arial"/>
                <w:bCs/>
              </w:rPr>
              <w:t xml:space="preserve"> have a Records Management and Lifecycle Policy which should be followed for all aspects of record creation, sharing, storage, retention and destruction of records.</w:t>
            </w:r>
          </w:p>
        </w:tc>
      </w:tr>
      <w:tr w:rsidR="00837CC1" w:rsidRPr="00527E0C" w:rsidTr="00DA5353">
        <w:tc>
          <w:tcPr>
            <w:tcW w:w="808" w:type="dxa"/>
          </w:tcPr>
          <w:p w:rsidR="00837CC1" w:rsidRPr="00527E0C" w:rsidRDefault="00837CC1" w:rsidP="00837CC1">
            <w:pPr>
              <w:rPr>
                <w:b/>
              </w:rPr>
            </w:pPr>
          </w:p>
        </w:tc>
        <w:tc>
          <w:tcPr>
            <w:tcW w:w="8543" w:type="dxa"/>
          </w:tcPr>
          <w:p w:rsidR="00837CC1" w:rsidRPr="00527E0C" w:rsidRDefault="00837CC1" w:rsidP="00837CC1">
            <w:pPr>
              <w:pStyle w:val="Default"/>
              <w:rPr>
                <w:b/>
              </w:rPr>
            </w:pPr>
          </w:p>
        </w:tc>
      </w:tr>
      <w:tr w:rsidR="00837CC1" w:rsidRPr="00527E0C" w:rsidTr="00837CC1">
        <w:tc>
          <w:tcPr>
            <w:tcW w:w="9351" w:type="dxa"/>
            <w:gridSpan w:val="2"/>
          </w:tcPr>
          <w:p w:rsidR="00837CC1" w:rsidRPr="00527E0C" w:rsidRDefault="00837CC1" w:rsidP="00B63368">
            <w:pPr>
              <w:pStyle w:val="Heading3"/>
            </w:pPr>
            <w:r w:rsidRPr="00527E0C">
              <w:tab/>
            </w:r>
            <w:bookmarkStart w:id="20" w:name="_Toc496602618"/>
            <w:r w:rsidR="00B63368" w:rsidRPr="00527E0C">
              <w:t>6</w:t>
            </w:r>
            <w:r w:rsidRPr="00527E0C">
              <w:t>.9 Access to Records</w:t>
            </w:r>
            <w:bookmarkEnd w:id="20"/>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BodyTextIndent"/>
              <w:ind w:left="0"/>
              <w:rPr>
                <w:rFonts w:cs="Arial"/>
                <w:b/>
                <w:bCs/>
              </w:rPr>
            </w:pPr>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BodyTextIndent"/>
              <w:ind w:left="0"/>
              <w:rPr>
                <w:rFonts w:cs="Arial"/>
                <w:bCs/>
              </w:rPr>
            </w:pPr>
            <w:r w:rsidRPr="00527E0C">
              <w:rPr>
                <w:rFonts w:cs="Arial"/>
                <w:bCs/>
              </w:rPr>
              <w:t>Individuals have a right to request access to</w:t>
            </w:r>
            <w:r w:rsidR="003C6ED8">
              <w:rPr>
                <w:rFonts w:cs="Arial"/>
                <w:bCs/>
              </w:rPr>
              <w:t xml:space="preserve"> their records in line with the GDPR/</w:t>
            </w:r>
            <w:r w:rsidRPr="00527E0C">
              <w:rPr>
                <w:rFonts w:cs="Arial"/>
                <w:bCs/>
              </w:rPr>
              <w:t xml:space="preserve">Data Protection Act by making a Subject Access Request.  All staff should familiarise themselves with the </w:t>
            </w:r>
            <w:r w:rsidR="00287C0B">
              <w:rPr>
                <w:rFonts w:cs="Arial"/>
                <w:bCs/>
              </w:rPr>
              <w:t>Practice</w:t>
            </w:r>
            <w:r w:rsidRPr="00527E0C">
              <w:rPr>
                <w:rFonts w:cs="Arial"/>
                <w:bCs/>
              </w:rPr>
              <w:t xml:space="preserve"> access to records procedure which should be followed for all requests for personal data.  This procedure also gives guidance in relation to requests for the records of deceased persons’ under the Access to Health Records Act 1990 and for dealing with requests for information from the police.</w:t>
            </w:r>
          </w:p>
          <w:p w:rsidR="00837CC1" w:rsidRPr="00527E0C" w:rsidRDefault="00837CC1" w:rsidP="00837CC1">
            <w:pPr>
              <w:pStyle w:val="BodyTextIndent"/>
              <w:ind w:left="0"/>
              <w:rPr>
                <w:rFonts w:cs="Arial"/>
                <w:bCs/>
              </w:rPr>
            </w:pPr>
          </w:p>
          <w:p w:rsidR="00837CC1" w:rsidRPr="00527E0C" w:rsidRDefault="00837CC1" w:rsidP="00837CC1">
            <w:pPr>
              <w:pStyle w:val="BodyTextIndent"/>
              <w:ind w:left="0"/>
              <w:rPr>
                <w:rFonts w:cs="Arial"/>
                <w:bCs/>
              </w:rPr>
            </w:pPr>
            <w:r w:rsidRPr="00527E0C">
              <w:rPr>
                <w:rFonts w:cs="Arial"/>
                <w:bCs/>
              </w:rPr>
              <w:t xml:space="preserve">Access to corporate information and records will be in accordance with </w:t>
            </w:r>
            <w:r w:rsidR="00287C0B">
              <w:rPr>
                <w:rFonts w:cs="Arial"/>
                <w:bCs/>
              </w:rPr>
              <w:t>Practice</w:t>
            </w:r>
            <w:r w:rsidRPr="00527E0C">
              <w:rPr>
                <w:rFonts w:cs="Arial"/>
                <w:bCs/>
              </w:rPr>
              <w:t xml:space="preserve"> Freedom of Information Act and Environmental Information </w:t>
            </w:r>
            <w:r w:rsidRPr="00527E0C">
              <w:rPr>
                <w:rFonts w:cs="Arial"/>
                <w:bCs/>
              </w:rPr>
              <w:lastRenderedPageBreak/>
              <w:t xml:space="preserve">Regulations Policy. </w:t>
            </w:r>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BodyTextIndent"/>
              <w:ind w:left="0"/>
              <w:rPr>
                <w:rFonts w:cs="Arial"/>
                <w:b/>
                <w:bCs/>
              </w:rPr>
            </w:pPr>
          </w:p>
        </w:tc>
      </w:tr>
      <w:tr w:rsidR="00837CC1" w:rsidRPr="00527E0C" w:rsidTr="00837CC1">
        <w:tc>
          <w:tcPr>
            <w:tcW w:w="9351" w:type="dxa"/>
            <w:gridSpan w:val="2"/>
          </w:tcPr>
          <w:p w:rsidR="00837CC1" w:rsidRPr="00527E0C" w:rsidRDefault="00837CC1" w:rsidP="00B63368">
            <w:pPr>
              <w:pStyle w:val="Heading3"/>
            </w:pPr>
            <w:r w:rsidRPr="00527E0C">
              <w:tab/>
            </w:r>
            <w:bookmarkStart w:id="21" w:name="_Toc496602619"/>
            <w:r w:rsidR="00B63368" w:rsidRPr="00527E0C">
              <w:t>6</w:t>
            </w:r>
            <w:r w:rsidRPr="00527E0C">
              <w:t>.10 Information Sharing</w:t>
            </w:r>
            <w:bookmarkEnd w:id="21"/>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BodyTextIndent"/>
              <w:ind w:left="0"/>
              <w:rPr>
                <w:rFonts w:cs="Arial"/>
                <w:b/>
                <w:bCs/>
              </w:rPr>
            </w:pPr>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BodyTextIndent"/>
              <w:ind w:left="0"/>
              <w:rPr>
                <w:rFonts w:cs="Arial"/>
                <w:bCs/>
              </w:rPr>
            </w:pPr>
            <w:r w:rsidRPr="00527E0C">
              <w:rPr>
                <w:rFonts w:cs="Arial"/>
                <w:bCs/>
              </w:rPr>
              <w:t xml:space="preserve">The </w:t>
            </w:r>
            <w:r w:rsidR="003C6ED8">
              <w:rPr>
                <w:rFonts w:cs="Arial"/>
                <w:bCs/>
              </w:rPr>
              <w:t>Practice</w:t>
            </w:r>
            <w:r w:rsidRPr="00527E0C">
              <w:rPr>
                <w:rFonts w:cs="Arial"/>
                <w:bCs/>
              </w:rPr>
              <w:t xml:space="preserve"> will ensure that information sharing takes place within a structured and documented process and in line with the Information Commissioner’s Code of Conduct and in accordance with the Health and Social Care Act 2012 and Health and Social Care (Safety and Quality) Act 2015.  </w:t>
            </w:r>
          </w:p>
          <w:p w:rsidR="00837CC1" w:rsidRPr="00527E0C" w:rsidRDefault="00837CC1" w:rsidP="00837CC1">
            <w:pPr>
              <w:pStyle w:val="BodyTextIndent"/>
              <w:ind w:left="0"/>
              <w:rPr>
                <w:rFonts w:cs="Arial"/>
                <w:bCs/>
              </w:rPr>
            </w:pPr>
          </w:p>
          <w:p w:rsidR="00837CC1" w:rsidRPr="00527E0C" w:rsidRDefault="00837CC1" w:rsidP="00837CC1">
            <w:pPr>
              <w:pStyle w:val="BodyTextIndent"/>
              <w:ind w:left="0"/>
              <w:rPr>
                <w:rFonts w:cs="Arial"/>
                <w:bCs/>
              </w:rPr>
            </w:pPr>
            <w:r w:rsidRPr="00527E0C">
              <w:rPr>
                <w:rFonts w:cs="Arial"/>
                <w:bCs/>
              </w:rPr>
              <w:t xml:space="preserve">Any local Information Sharing Protocols that the </w:t>
            </w:r>
            <w:r w:rsidR="00287C0B">
              <w:rPr>
                <w:rFonts w:cs="Arial"/>
                <w:bCs/>
              </w:rPr>
              <w:t>Practice</w:t>
            </w:r>
            <w:r w:rsidR="003C6ED8">
              <w:rPr>
                <w:rFonts w:cs="Arial"/>
                <w:bCs/>
              </w:rPr>
              <w:t xml:space="preserve"> have signed up to need</w:t>
            </w:r>
            <w:r w:rsidRPr="00527E0C">
              <w:rPr>
                <w:rFonts w:cs="Arial"/>
                <w:bCs/>
              </w:rPr>
              <w:t xml:space="preserve"> to be followed at all times</w:t>
            </w:r>
            <w:r w:rsidR="003C6ED8">
              <w:rPr>
                <w:rFonts w:cs="Arial"/>
                <w:bCs/>
              </w:rPr>
              <w:t>, unless they conflict with law or statutue</w:t>
            </w:r>
            <w:r w:rsidRPr="00527E0C">
              <w:rPr>
                <w:rFonts w:cs="Arial"/>
                <w:bCs/>
              </w:rPr>
              <w:t xml:space="preserve">.  </w:t>
            </w:r>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BodyTextIndent"/>
              <w:ind w:left="0"/>
              <w:rPr>
                <w:rFonts w:cs="Arial"/>
                <w:b/>
                <w:bCs/>
              </w:rPr>
            </w:pPr>
          </w:p>
        </w:tc>
      </w:tr>
      <w:tr w:rsidR="00837CC1" w:rsidRPr="00527E0C" w:rsidTr="00837CC1">
        <w:tc>
          <w:tcPr>
            <w:tcW w:w="9351" w:type="dxa"/>
            <w:gridSpan w:val="2"/>
          </w:tcPr>
          <w:p w:rsidR="00837CC1" w:rsidRPr="00527E0C" w:rsidRDefault="00837CC1" w:rsidP="00B63368">
            <w:pPr>
              <w:pStyle w:val="Heading3"/>
            </w:pPr>
            <w:r w:rsidRPr="00527E0C">
              <w:tab/>
            </w:r>
            <w:bookmarkStart w:id="22" w:name="_Toc496602620"/>
            <w:r w:rsidR="00B63368" w:rsidRPr="00527E0C">
              <w:t>6</w:t>
            </w:r>
            <w:r w:rsidRPr="00527E0C">
              <w:t>.11 Information Confidentiality Breaches</w:t>
            </w:r>
            <w:bookmarkEnd w:id="22"/>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BodyTextIndent"/>
              <w:ind w:left="0"/>
              <w:rPr>
                <w:rFonts w:cs="Arial"/>
                <w:b/>
                <w:bCs/>
              </w:rPr>
            </w:pPr>
          </w:p>
        </w:tc>
      </w:tr>
      <w:tr w:rsidR="00837CC1" w:rsidRPr="00527E0C" w:rsidTr="00DA5353">
        <w:tc>
          <w:tcPr>
            <w:tcW w:w="808" w:type="dxa"/>
          </w:tcPr>
          <w:p w:rsidR="00837CC1" w:rsidRPr="00527E0C" w:rsidRDefault="00837CC1" w:rsidP="00837CC1">
            <w:pPr>
              <w:rPr>
                <w:b/>
                <w:bCs/>
              </w:rPr>
            </w:pPr>
          </w:p>
        </w:tc>
        <w:tc>
          <w:tcPr>
            <w:tcW w:w="8543" w:type="dxa"/>
          </w:tcPr>
          <w:p w:rsidR="003C6ED8" w:rsidRDefault="00837CC1" w:rsidP="00837CC1">
            <w:pPr>
              <w:pStyle w:val="BodyTextIndent"/>
              <w:ind w:left="0"/>
              <w:rPr>
                <w:rFonts w:cs="Arial"/>
                <w:bCs/>
              </w:rPr>
            </w:pPr>
            <w:r w:rsidRPr="00527E0C">
              <w:rPr>
                <w:rFonts w:cs="Arial"/>
                <w:bCs/>
              </w:rPr>
              <w:t>All actual, potential or suspected incidents involving breaches of confidentiality or cyber-related</w:t>
            </w:r>
            <w:r w:rsidR="003C6ED8">
              <w:rPr>
                <w:rFonts w:cs="Arial"/>
                <w:bCs/>
              </w:rPr>
              <w:t xml:space="preserve"> incidents</w:t>
            </w:r>
            <w:r w:rsidRPr="00527E0C">
              <w:rPr>
                <w:rFonts w:cs="Arial"/>
                <w:bCs/>
              </w:rPr>
              <w:t xml:space="preserve"> must be reported on the Datix system following the </w:t>
            </w:r>
            <w:r w:rsidR="00287C0B">
              <w:rPr>
                <w:rFonts w:cs="Arial"/>
                <w:bCs/>
              </w:rPr>
              <w:t>Practice</w:t>
            </w:r>
            <w:r w:rsidRPr="00527E0C">
              <w:rPr>
                <w:rFonts w:cs="Arial"/>
                <w:bCs/>
              </w:rPr>
              <w:t xml:space="preserve"> Incident Reporting procedure.  </w:t>
            </w:r>
          </w:p>
          <w:p w:rsidR="003C6ED8" w:rsidRDefault="003C6ED8" w:rsidP="00837CC1">
            <w:pPr>
              <w:pStyle w:val="BodyTextIndent"/>
              <w:ind w:left="0"/>
              <w:rPr>
                <w:rFonts w:cs="Arial"/>
                <w:bCs/>
              </w:rPr>
            </w:pPr>
          </w:p>
          <w:p w:rsidR="003C6ED8" w:rsidRDefault="00837CC1" w:rsidP="00837CC1">
            <w:pPr>
              <w:pStyle w:val="BodyTextIndent"/>
              <w:ind w:left="0"/>
              <w:rPr>
                <w:rFonts w:cs="Arial"/>
                <w:bCs/>
              </w:rPr>
            </w:pPr>
            <w:r w:rsidRPr="00527E0C">
              <w:rPr>
                <w:rFonts w:cs="Arial"/>
                <w:bCs/>
              </w:rPr>
              <w:t>All incidents involving patient data should be repor</w:t>
            </w:r>
            <w:r w:rsidR="003C6ED8">
              <w:rPr>
                <w:rFonts w:cs="Arial"/>
                <w:bCs/>
              </w:rPr>
              <w:t xml:space="preserve">ted to the Caldicott Guardian, who </w:t>
            </w:r>
            <w:r w:rsidRPr="00527E0C">
              <w:rPr>
                <w:rFonts w:cs="Arial"/>
                <w:bCs/>
              </w:rPr>
              <w:t>should consider whether serious breaches of confidentiality</w:t>
            </w:r>
            <w:r w:rsidR="003C6ED8">
              <w:rPr>
                <w:rFonts w:cs="Arial"/>
                <w:bCs/>
              </w:rPr>
              <w:t>,</w:t>
            </w:r>
            <w:r w:rsidRPr="00527E0C">
              <w:rPr>
                <w:rFonts w:cs="Arial"/>
                <w:bCs/>
              </w:rPr>
              <w:t xml:space="preserve"> or those involving large numbers of individuals</w:t>
            </w:r>
            <w:r w:rsidR="003C6ED8">
              <w:rPr>
                <w:rFonts w:cs="Arial"/>
                <w:bCs/>
              </w:rPr>
              <w:t>,</w:t>
            </w:r>
            <w:r w:rsidRPr="00527E0C">
              <w:rPr>
                <w:rFonts w:cs="Arial"/>
                <w:bCs/>
              </w:rPr>
              <w:t xml:space="preserve"> need to be reported to the Information Commissioner via the </w:t>
            </w:r>
            <w:r w:rsidR="003C6ED8">
              <w:rPr>
                <w:rFonts w:cs="Arial"/>
                <w:bCs/>
              </w:rPr>
              <w:t>Data Security and Protection</w:t>
            </w:r>
            <w:r w:rsidRPr="00527E0C">
              <w:rPr>
                <w:rFonts w:cs="Arial"/>
                <w:bCs/>
              </w:rPr>
              <w:t xml:space="preserve"> Toolkit incident reporting tool in accordance with the Checklist Guidance for Reporting, Managing and Investigating Information Governance and Cyber Security Serious Incidents Requiring Investigation. </w:t>
            </w:r>
          </w:p>
          <w:p w:rsidR="003C6ED8" w:rsidRDefault="003C6ED8" w:rsidP="00837CC1">
            <w:pPr>
              <w:pStyle w:val="BodyTextIndent"/>
              <w:ind w:left="0"/>
              <w:rPr>
                <w:rFonts w:cs="Arial"/>
                <w:bCs/>
              </w:rPr>
            </w:pPr>
          </w:p>
          <w:p w:rsidR="00837CC1" w:rsidRPr="00527E0C" w:rsidRDefault="00837CC1" w:rsidP="00837CC1">
            <w:pPr>
              <w:pStyle w:val="BodyTextIndent"/>
              <w:ind w:left="0"/>
              <w:rPr>
                <w:rFonts w:cs="Arial"/>
                <w:bCs/>
              </w:rPr>
            </w:pPr>
            <w:r w:rsidRPr="00527E0C">
              <w:rPr>
                <w:rFonts w:cs="Arial"/>
                <w:bCs/>
              </w:rPr>
              <w:t xml:space="preserve">Reportable breaches should be determined and presented within </w:t>
            </w:r>
            <w:r w:rsidR="003C6ED8">
              <w:rPr>
                <w:rFonts w:cs="Arial"/>
                <w:bCs/>
              </w:rPr>
              <w:t>72</w:t>
            </w:r>
            <w:r w:rsidRPr="00527E0C">
              <w:rPr>
                <w:rFonts w:cs="Arial"/>
                <w:bCs/>
              </w:rPr>
              <w:t xml:space="preserve"> hours of being identified.</w:t>
            </w:r>
          </w:p>
          <w:p w:rsidR="00837CC1" w:rsidRPr="00527E0C" w:rsidRDefault="00837CC1" w:rsidP="00837CC1">
            <w:pPr>
              <w:pStyle w:val="BodyTextIndent"/>
              <w:ind w:left="0"/>
              <w:rPr>
                <w:rFonts w:cs="Arial"/>
                <w:b/>
                <w:bCs/>
              </w:rPr>
            </w:pPr>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B63368">
            <w:r w:rsidRPr="00527E0C">
              <w:rPr>
                <w:b/>
              </w:rPr>
              <w:t xml:space="preserve">What should be reported? </w:t>
            </w:r>
          </w:p>
        </w:tc>
      </w:tr>
      <w:tr w:rsidR="00B63368" w:rsidRPr="00527E0C" w:rsidTr="00DA5353">
        <w:tc>
          <w:tcPr>
            <w:tcW w:w="808" w:type="dxa"/>
          </w:tcPr>
          <w:p w:rsidR="00B63368" w:rsidRPr="00527E0C" w:rsidRDefault="00B63368" w:rsidP="00837CC1">
            <w:pPr>
              <w:rPr>
                <w:b/>
                <w:bCs/>
              </w:rPr>
            </w:pPr>
          </w:p>
        </w:tc>
        <w:tc>
          <w:tcPr>
            <w:tcW w:w="8543" w:type="dxa"/>
          </w:tcPr>
          <w:p w:rsidR="00B63368" w:rsidRPr="00527E0C" w:rsidRDefault="00B63368" w:rsidP="00837CC1">
            <w:pPr>
              <w:ind w:right="15"/>
            </w:pPr>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ind w:right="15"/>
            </w:pPr>
            <w:r w:rsidRPr="00527E0C">
              <w:t xml:space="preserve">Misuses of personal data and security incidents must be reported so that steps can be taken to rectify the problem and to ensure that the same problem does not occur again. The following list gives some examples of breaches of this policy which should be reported: </w:t>
            </w:r>
          </w:p>
          <w:p w:rsidR="00837CC1" w:rsidRPr="00527E0C" w:rsidRDefault="00837CC1" w:rsidP="00837CC1">
            <w:pPr>
              <w:rPr>
                <w:b/>
              </w:rPr>
            </w:pPr>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ListParagraph"/>
              <w:numPr>
                <w:ilvl w:val="0"/>
                <w:numId w:val="15"/>
              </w:numPr>
              <w:ind w:left="360" w:right="15"/>
              <w:rPr>
                <w:rFonts w:cs="Arial"/>
                <w:sz w:val="24"/>
                <w:szCs w:val="24"/>
              </w:rPr>
            </w:pPr>
            <w:r w:rsidRPr="00527E0C">
              <w:rPr>
                <w:rFonts w:cs="Arial"/>
                <w:sz w:val="24"/>
                <w:szCs w:val="24"/>
              </w:rPr>
              <w:t>Sharing of passwords and/or smartcards.</w:t>
            </w:r>
          </w:p>
          <w:p w:rsidR="00837CC1" w:rsidRPr="00527E0C" w:rsidRDefault="00837CC1" w:rsidP="00837CC1">
            <w:pPr>
              <w:pStyle w:val="ListParagraph"/>
              <w:numPr>
                <w:ilvl w:val="0"/>
                <w:numId w:val="15"/>
              </w:numPr>
              <w:ind w:left="360" w:right="15"/>
              <w:rPr>
                <w:rFonts w:cs="Arial"/>
                <w:sz w:val="24"/>
                <w:szCs w:val="24"/>
              </w:rPr>
            </w:pPr>
            <w:r w:rsidRPr="00527E0C">
              <w:rPr>
                <w:rFonts w:cs="Arial"/>
                <w:sz w:val="24"/>
                <w:szCs w:val="24"/>
              </w:rPr>
              <w:t>Unauthorised access to the computer systems either by staff or a third party.</w:t>
            </w:r>
          </w:p>
          <w:p w:rsidR="00837CC1" w:rsidRPr="00527E0C" w:rsidRDefault="00837CC1" w:rsidP="00837CC1">
            <w:pPr>
              <w:pStyle w:val="ListParagraph"/>
              <w:numPr>
                <w:ilvl w:val="0"/>
                <w:numId w:val="15"/>
              </w:numPr>
              <w:ind w:left="360" w:right="15"/>
              <w:rPr>
                <w:rFonts w:cs="Arial"/>
                <w:sz w:val="24"/>
                <w:szCs w:val="24"/>
              </w:rPr>
            </w:pPr>
            <w:r w:rsidRPr="00527E0C">
              <w:rPr>
                <w:rFonts w:cs="Arial"/>
                <w:sz w:val="24"/>
                <w:szCs w:val="24"/>
              </w:rPr>
              <w:t>Unauthorised access to personal confidential personal information where the member of staff does not have a need to know.</w:t>
            </w:r>
          </w:p>
          <w:p w:rsidR="00837CC1" w:rsidRPr="00527E0C" w:rsidRDefault="00837CC1" w:rsidP="00837CC1">
            <w:pPr>
              <w:pStyle w:val="ListParagraph"/>
              <w:numPr>
                <w:ilvl w:val="0"/>
                <w:numId w:val="15"/>
              </w:numPr>
              <w:ind w:left="360" w:right="15"/>
              <w:rPr>
                <w:rFonts w:cs="Arial"/>
                <w:sz w:val="24"/>
                <w:szCs w:val="24"/>
              </w:rPr>
            </w:pPr>
            <w:r w:rsidRPr="00527E0C">
              <w:rPr>
                <w:rFonts w:cs="Arial"/>
                <w:sz w:val="24"/>
                <w:szCs w:val="24"/>
              </w:rPr>
              <w:t>Disclosure of personal data to a third party where there is no justification and you have concerns that it is not in accordance with the data protection principles and NHS Code of Confidentiality.</w:t>
            </w:r>
          </w:p>
          <w:p w:rsidR="00837CC1" w:rsidRPr="00527E0C" w:rsidRDefault="00837CC1" w:rsidP="00837CC1">
            <w:pPr>
              <w:pStyle w:val="ListParagraph"/>
              <w:numPr>
                <w:ilvl w:val="0"/>
                <w:numId w:val="15"/>
              </w:numPr>
              <w:ind w:left="360" w:right="15"/>
              <w:rPr>
                <w:rFonts w:cs="Arial"/>
                <w:sz w:val="24"/>
                <w:szCs w:val="24"/>
              </w:rPr>
            </w:pPr>
            <w:r w:rsidRPr="00527E0C">
              <w:rPr>
                <w:rFonts w:cs="Arial"/>
                <w:sz w:val="24"/>
                <w:szCs w:val="24"/>
              </w:rPr>
              <w:t>Sending data in a way that breaches confidentiality.</w:t>
            </w:r>
          </w:p>
          <w:p w:rsidR="00837CC1" w:rsidRPr="00527E0C" w:rsidRDefault="00837CC1" w:rsidP="00837CC1">
            <w:pPr>
              <w:pStyle w:val="ListParagraph"/>
              <w:numPr>
                <w:ilvl w:val="0"/>
                <w:numId w:val="15"/>
              </w:numPr>
              <w:ind w:left="360" w:right="15"/>
              <w:rPr>
                <w:rFonts w:cs="Arial"/>
                <w:sz w:val="24"/>
                <w:szCs w:val="24"/>
              </w:rPr>
            </w:pPr>
            <w:r w:rsidRPr="00527E0C">
              <w:rPr>
                <w:rFonts w:cs="Arial"/>
                <w:sz w:val="24"/>
                <w:szCs w:val="24"/>
              </w:rPr>
              <w:t>Leaving confidential information lying around in a public area e.g. photocopier.</w:t>
            </w:r>
          </w:p>
          <w:p w:rsidR="00837CC1" w:rsidRPr="00527E0C" w:rsidRDefault="00837CC1" w:rsidP="00837CC1">
            <w:pPr>
              <w:pStyle w:val="ListParagraph"/>
              <w:numPr>
                <w:ilvl w:val="0"/>
                <w:numId w:val="15"/>
              </w:numPr>
              <w:ind w:left="360" w:right="15"/>
              <w:rPr>
                <w:rFonts w:cs="Arial"/>
                <w:sz w:val="24"/>
                <w:szCs w:val="24"/>
              </w:rPr>
            </w:pPr>
            <w:r w:rsidRPr="00527E0C">
              <w:rPr>
                <w:rFonts w:cs="Arial"/>
                <w:sz w:val="24"/>
                <w:szCs w:val="24"/>
              </w:rPr>
              <w:t>Theft or loss of patient-identifiable information.</w:t>
            </w:r>
          </w:p>
          <w:p w:rsidR="00837CC1" w:rsidRPr="00527E0C" w:rsidRDefault="00837CC1" w:rsidP="00837CC1">
            <w:pPr>
              <w:pStyle w:val="ListParagraph"/>
              <w:numPr>
                <w:ilvl w:val="0"/>
                <w:numId w:val="15"/>
              </w:numPr>
              <w:ind w:left="357" w:hanging="357"/>
              <w:rPr>
                <w:rFonts w:cs="Arial"/>
                <w:sz w:val="24"/>
                <w:szCs w:val="24"/>
              </w:rPr>
            </w:pPr>
            <w:r w:rsidRPr="00527E0C">
              <w:rPr>
                <w:rFonts w:cs="Arial"/>
                <w:sz w:val="24"/>
                <w:szCs w:val="24"/>
              </w:rPr>
              <w:t xml:space="preserve">Disposal of confidential information in a way that breaches confidentiality i.e. disposing of patient records and or content of in an ordinary waste </w:t>
            </w:r>
            <w:r w:rsidRPr="00527E0C">
              <w:rPr>
                <w:rFonts w:cs="Arial"/>
                <w:sz w:val="24"/>
                <w:szCs w:val="24"/>
              </w:rPr>
              <w:lastRenderedPageBreak/>
              <w:t>paper bin</w:t>
            </w:r>
          </w:p>
          <w:p w:rsidR="00837CC1" w:rsidRPr="00527E0C" w:rsidRDefault="00837CC1" w:rsidP="00837CC1">
            <w:pPr>
              <w:pStyle w:val="ListParagraph"/>
              <w:numPr>
                <w:ilvl w:val="0"/>
                <w:numId w:val="15"/>
              </w:numPr>
              <w:ind w:left="357" w:hanging="357"/>
              <w:rPr>
                <w:rFonts w:cs="Arial"/>
                <w:sz w:val="24"/>
                <w:szCs w:val="24"/>
              </w:rPr>
            </w:pPr>
            <w:r w:rsidRPr="00527E0C">
              <w:rPr>
                <w:rFonts w:cs="Arial"/>
                <w:sz w:val="24"/>
                <w:szCs w:val="24"/>
              </w:rPr>
              <w:t>Processing identifiable information without an appropriate Information Asset and associated data flows being identified and recorded in the organisations register.</w:t>
            </w:r>
          </w:p>
        </w:tc>
      </w:tr>
      <w:tr w:rsidR="00837CC1" w:rsidRPr="00527E0C" w:rsidTr="00DA5353">
        <w:tc>
          <w:tcPr>
            <w:tcW w:w="808" w:type="dxa"/>
          </w:tcPr>
          <w:p w:rsidR="00837CC1" w:rsidRPr="00527E0C" w:rsidRDefault="00837CC1" w:rsidP="00837CC1">
            <w:pPr>
              <w:rPr>
                <w:b/>
              </w:rPr>
            </w:pPr>
          </w:p>
        </w:tc>
        <w:tc>
          <w:tcPr>
            <w:tcW w:w="8543" w:type="dxa"/>
          </w:tcPr>
          <w:p w:rsidR="00837CC1" w:rsidRPr="00527E0C" w:rsidRDefault="00837CC1" w:rsidP="00837CC1">
            <w:pPr>
              <w:pStyle w:val="Default"/>
              <w:rPr>
                <w:b/>
              </w:rPr>
            </w:pPr>
          </w:p>
        </w:tc>
      </w:tr>
      <w:tr w:rsidR="00837CC1" w:rsidRPr="00527E0C" w:rsidTr="00837CC1">
        <w:tc>
          <w:tcPr>
            <w:tcW w:w="9351" w:type="dxa"/>
            <w:gridSpan w:val="2"/>
          </w:tcPr>
          <w:p w:rsidR="00837CC1" w:rsidRPr="00527E0C" w:rsidRDefault="00837CC1" w:rsidP="007A0F24">
            <w:pPr>
              <w:pStyle w:val="Heading3"/>
            </w:pPr>
            <w:r w:rsidRPr="00527E0C">
              <w:tab/>
            </w:r>
            <w:bookmarkStart w:id="23" w:name="_Toc496602621"/>
            <w:r w:rsidR="00B63368" w:rsidRPr="00527E0C">
              <w:t>6</w:t>
            </w:r>
            <w:r w:rsidRPr="00527E0C">
              <w:t>.12 Data Protection Impact Assessment</w:t>
            </w:r>
            <w:bookmarkEnd w:id="23"/>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ind w:right="15"/>
              <w:rPr>
                <w:b/>
                <w:bCs/>
              </w:rPr>
            </w:pPr>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r w:rsidRPr="00527E0C">
              <w:t xml:space="preserve">All new projects, processes and systems (including software and hardware) which are introduced must meet confidentiality and data protection requirements. </w:t>
            </w:r>
            <w:r w:rsidRPr="00527E0C">
              <w:rPr>
                <w:color w:val="000000"/>
              </w:rPr>
              <w:t xml:space="preserve">To enable the organisation to address the privacy concerns and risks a technique referred to as a </w:t>
            </w:r>
            <w:r w:rsidR="007A0F24" w:rsidRPr="00527E0C">
              <w:t>Data Protection Impact Assessment</w:t>
            </w:r>
            <w:r w:rsidR="007A0F24" w:rsidRPr="00527E0C">
              <w:rPr>
                <w:color w:val="000000"/>
              </w:rPr>
              <w:t xml:space="preserve"> </w:t>
            </w:r>
            <w:r w:rsidRPr="00527E0C">
              <w:rPr>
                <w:color w:val="000000"/>
              </w:rPr>
              <w:t>(</w:t>
            </w:r>
            <w:r w:rsidR="007A0F24">
              <w:rPr>
                <w:color w:val="000000"/>
              </w:rPr>
              <w:t>D</w:t>
            </w:r>
            <w:r w:rsidRPr="00527E0C">
              <w:rPr>
                <w:color w:val="000000"/>
              </w:rPr>
              <w:t xml:space="preserve">PIA) must be used.  A </w:t>
            </w:r>
            <w:r w:rsidR="007A0F24">
              <w:rPr>
                <w:color w:val="000000"/>
              </w:rPr>
              <w:t>D</w:t>
            </w:r>
            <w:r w:rsidRPr="00527E0C">
              <w:rPr>
                <w:color w:val="000000"/>
              </w:rPr>
              <w:t>PIA will assist to:</w:t>
            </w:r>
          </w:p>
          <w:p w:rsidR="00837CC1" w:rsidRPr="00527E0C" w:rsidRDefault="00837CC1" w:rsidP="00837CC1">
            <w:pPr>
              <w:ind w:right="15"/>
              <w:rPr>
                <w:b/>
                <w:bCs/>
              </w:rPr>
            </w:pPr>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Default"/>
              <w:numPr>
                <w:ilvl w:val="0"/>
                <w:numId w:val="20"/>
              </w:numPr>
            </w:pPr>
            <w:r w:rsidRPr="00527E0C">
              <w:t>Identify privacy risks to individuals</w:t>
            </w:r>
          </w:p>
          <w:p w:rsidR="00837CC1" w:rsidRPr="00527E0C" w:rsidRDefault="00837CC1" w:rsidP="00837CC1">
            <w:pPr>
              <w:pStyle w:val="Default"/>
              <w:numPr>
                <w:ilvl w:val="0"/>
                <w:numId w:val="20"/>
              </w:numPr>
            </w:pPr>
            <w:r w:rsidRPr="00527E0C">
              <w:t xml:space="preserve">Protect the </w:t>
            </w:r>
            <w:r w:rsidR="00287C0B">
              <w:t>Practice</w:t>
            </w:r>
            <w:r w:rsidRPr="00527E0C">
              <w:t xml:space="preserve"> reputation</w:t>
            </w:r>
          </w:p>
          <w:p w:rsidR="00837CC1" w:rsidRPr="00527E0C" w:rsidRDefault="00837CC1" w:rsidP="00837CC1">
            <w:pPr>
              <w:pStyle w:val="Default"/>
              <w:numPr>
                <w:ilvl w:val="0"/>
                <w:numId w:val="20"/>
              </w:numPr>
            </w:pPr>
            <w:r w:rsidRPr="00527E0C">
              <w:t xml:space="preserve">Ensure person identifiable data is being processed safely </w:t>
            </w:r>
          </w:p>
          <w:p w:rsidR="00837CC1" w:rsidRPr="00527E0C" w:rsidRDefault="00837CC1" w:rsidP="00837CC1">
            <w:pPr>
              <w:pStyle w:val="ListParagraph"/>
              <w:numPr>
                <w:ilvl w:val="0"/>
                <w:numId w:val="20"/>
              </w:numPr>
              <w:rPr>
                <w:rFonts w:cs="Arial"/>
                <w:sz w:val="24"/>
                <w:szCs w:val="24"/>
              </w:rPr>
            </w:pPr>
            <w:r w:rsidRPr="00527E0C">
              <w:rPr>
                <w:rFonts w:cs="Arial"/>
                <w:sz w:val="24"/>
                <w:szCs w:val="24"/>
              </w:rPr>
              <w:t>Foresee problems and negotiate solutions</w:t>
            </w:r>
          </w:p>
          <w:p w:rsidR="00837CC1" w:rsidRPr="00527E0C" w:rsidRDefault="00837CC1" w:rsidP="00837CC1">
            <w:pPr>
              <w:pStyle w:val="ListParagraph"/>
              <w:numPr>
                <w:ilvl w:val="0"/>
                <w:numId w:val="20"/>
              </w:numPr>
              <w:rPr>
                <w:rFonts w:cs="Arial"/>
                <w:sz w:val="24"/>
                <w:szCs w:val="24"/>
              </w:rPr>
            </w:pPr>
            <w:r w:rsidRPr="00527E0C">
              <w:rPr>
                <w:rFonts w:cs="Arial"/>
                <w:sz w:val="24"/>
                <w:szCs w:val="24"/>
              </w:rPr>
              <w:t>Identify all Information Assets and corresponding data flows</w:t>
            </w:r>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Default"/>
            </w:pPr>
          </w:p>
        </w:tc>
      </w:tr>
      <w:tr w:rsidR="00837CC1" w:rsidRPr="00527E0C" w:rsidTr="00DA5353">
        <w:tc>
          <w:tcPr>
            <w:tcW w:w="808" w:type="dxa"/>
          </w:tcPr>
          <w:p w:rsidR="00837CC1" w:rsidRPr="00527E0C" w:rsidRDefault="00837CC1" w:rsidP="00837CC1">
            <w:pPr>
              <w:rPr>
                <w:b/>
                <w:bCs/>
              </w:rPr>
            </w:pPr>
          </w:p>
        </w:tc>
        <w:tc>
          <w:tcPr>
            <w:tcW w:w="8543" w:type="dxa"/>
          </w:tcPr>
          <w:p w:rsidR="00837CC1" w:rsidRPr="00527E0C" w:rsidRDefault="00837CC1" w:rsidP="00837CC1">
            <w:pPr>
              <w:pStyle w:val="BodyTextIndent"/>
              <w:ind w:left="0"/>
              <w:rPr>
                <w:rFonts w:cs="Arial"/>
                <w:bCs/>
              </w:rPr>
            </w:pPr>
            <w:r w:rsidRPr="00527E0C">
              <w:rPr>
                <w:rFonts w:cs="Arial"/>
                <w:bCs/>
              </w:rPr>
              <w:t xml:space="preserve">The </w:t>
            </w:r>
            <w:r w:rsidR="00287C0B">
              <w:rPr>
                <w:rFonts w:cs="Arial"/>
                <w:bCs/>
              </w:rPr>
              <w:t>Practice</w:t>
            </w:r>
            <w:r w:rsidRPr="00527E0C">
              <w:rPr>
                <w:rFonts w:cs="Arial"/>
                <w:bCs/>
              </w:rPr>
              <w:t xml:space="preserve"> procedure for </w:t>
            </w:r>
            <w:r w:rsidR="007A0F24">
              <w:rPr>
                <w:rFonts w:cs="Arial"/>
                <w:bCs/>
              </w:rPr>
              <w:t>D</w:t>
            </w:r>
            <w:r w:rsidRPr="00527E0C">
              <w:rPr>
                <w:rFonts w:cs="Arial"/>
                <w:bCs/>
              </w:rPr>
              <w:t>PIA</w:t>
            </w:r>
            <w:r w:rsidR="00DA5353" w:rsidRPr="00527E0C">
              <w:rPr>
                <w:rFonts w:cs="Arial"/>
                <w:bCs/>
              </w:rPr>
              <w:t>s</w:t>
            </w:r>
            <w:r w:rsidRPr="00527E0C">
              <w:rPr>
                <w:rFonts w:cs="Arial"/>
                <w:bCs/>
              </w:rPr>
              <w:t xml:space="preserve"> should be followed.</w:t>
            </w:r>
          </w:p>
        </w:tc>
      </w:tr>
      <w:tr w:rsidR="00837CC1" w:rsidRPr="00527E0C" w:rsidTr="00837CC1">
        <w:tc>
          <w:tcPr>
            <w:tcW w:w="9351" w:type="dxa"/>
            <w:gridSpan w:val="2"/>
          </w:tcPr>
          <w:p w:rsidR="00837CC1" w:rsidRPr="00527E0C" w:rsidRDefault="00837CC1" w:rsidP="008048CA">
            <w:pPr>
              <w:pStyle w:val="BodyTextIndent2"/>
              <w:spacing w:after="0" w:line="240" w:lineRule="auto"/>
              <w:ind w:left="0"/>
              <w:rPr>
                <w:b/>
              </w:rPr>
            </w:pPr>
          </w:p>
        </w:tc>
      </w:tr>
      <w:tr w:rsidR="00E346EB" w:rsidRPr="00527E0C" w:rsidTr="00837CC1">
        <w:tc>
          <w:tcPr>
            <w:tcW w:w="9351" w:type="dxa"/>
            <w:gridSpan w:val="2"/>
          </w:tcPr>
          <w:p w:rsidR="00E346EB" w:rsidRPr="00527E0C" w:rsidRDefault="00E346EB" w:rsidP="00B63368">
            <w:pPr>
              <w:pStyle w:val="Heading1"/>
              <w:numPr>
                <w:ilvl w:val="0"/>
                <w:numId w:val="34"/>
              </w:numPr>
            </w:pPr>
            <w:bookmarkStart w:id="24" w:name="_Toc496602622"/>
            <w:r w:rsidRPr="00527E0C">
              <w:t>CONFIDENTIALITY GUIDANCE AND LEGISLATION</w:t>
            </w:r>
            <w:bookmarkEnd w:id="24"/>
            <w:r w:rsidRPr="00527E0C">
              <w:tab/>
            </w:r>
          </w:p>
        </w:tc>
      </w:tr>
      <w:tr w:rsidR="00A07CCC" w:rsidRPr="00527E0C" w:rsidTr="00837CC1">
        <w:tc>
          <w:tcPr>
            <w:tcW w:w="808" w:type="dxa"/>
          </w:tcPr>
          <w:p w:rsidR="00A07CCC" w:rsidRPr="00527E0C" w:rsidRDefault="00A07CCC" w:rsidP="008048CA">
            <w:pPr>
              <w:rPr>
                <w:b/>
              </w:rPr>
            </w:pPr>
          </w:p>
        </w:tc>
        <w:tc>
          <w:tcPr>
            <w:tcW w:w="8543" w:type="dxa"/>
          </w:tcPr>
          <w:p w:rsidR="00A07CCC" w:rsidRPr="00527E0C" w:rsidRDefault="00A07CCC" w:rsidP="008048CA">
            <w:pPr>
              <w:pStyle w:val="BodyTextIndent2"/>
              <w:spacing w:after="0" w:line="240" w:lineRule="auto"/>
              <w:ind w:left="0"/>
              <w:rPr>
                <w:b/>
              </w:rPr>
            </w:pPr>
          </w:p>
        </w:tc>
      </w:tr>
      <w:tr w:rsidR="00A07CCC" w:rsidRPr="00527E0C" w:rsidTr="00837CC1">
        <w:tc>
          <w:tcPr>
            <w:tcW w:w="808" w:type="dxa"/>
          </w:tcPr>
          <w:p w:rsidR="00A07CCC" w:rsidRPr="00527E0C" w:rsidRDefault="00A07CCC" w:rsidP="008048CA">
            <w:pPr>
              <w:rPr>
                <w:b/>
              </w:rPr>
            </w:pPr>
          </w:p>
        </w:tc>
        <w:tc>
          <w:tcPr>
            <w:tcW w:w="8543" w:type="dxa"/>
          </w:tcPr>
          <w:p w:rsidR="00A07CCC" w:rsidRPr="00527E0C" w:rsidRDefault="00A07CCC" w:rsidP="00525211">
            <w:pPr>
              <w:pStyle w:val="BodyTextIndent"/>
              <w:ind w:left="0"/>
              <w:rPr>
                <w:rFonts w:cs="Arial"/>
              </w:rPr>
            </w:pPr>
            <w:r w:rsidRPr="00527E0C">
              <w:rPr>
                <w:rFonts w:cs="Arial"/>
              </w:rPr>
              <w:t xml:space="preserve">For personal and confidential Information held by the </w:t>
            </w:r>
            <w:r w:rsidR="00287C0B">
              <w:rPr>
                <w:rFonts w:cs="Arial"/>
              </w:rPr>
              <w:t>Practice</w:t>
            </w:r>
            <w:r w:rsidRPr="00527E0C">
              <w:rPr>
                <w:rFonts w:cs="Arial"/>
              </w:rPr>
              <w:t xml:space="preserve"> there will be appropriate measures to ensure confidentiality and security, underpinning the principles of Caldicott, </w:t>
            </w:r>
            <w:r w:rsidR="00525211" w:rsidRPr="00527E0C">
              <w:rPr>
                <w:rFonts w:cs="Arial"/>
              </w:rPr>
              <w:t>NHS Digital</w:t>
            </w:r>
            <w:r w:rsidRPr="00527E0C">
              <w:rPr>
                <w:rFonts w:cs="Arial"/>
              </w:rPr>
              <w:t xml:space="preserve"> Guidance, </w:t>
            </w:r>
            <w:r w:rsidR="005A561E" w:rsidRPr="00527E0C">
              <w:rPr>
                <w:rFonts w:cs="Arial"/>
              </w:rPr>
              <w:t xml:space="preserve">ICO and </w:t>
            </w:r>
            <w:r w:rsidR="007A5FD4" w:rsidRPr="00527E0C">
              <w:rPr>
                <w:rFonts w:cs="Arial"/>
              </w:rPr>
              <w:t xml:space="preserve">professional Codes of Practice, </w:t>
            </w:r>
            <w:r w:rsidRPr="00527E0C">
              <w:rPr>
                <w:rFonts w:cs="Arial"/>
              </w:rPr>
              <w:t>legislation</w:t>
            </w:r>
            <w:r w:rsidR="007A5FD4" w:rsidRPr="00527E0C">
              <w:rPr>
                <w:rFonts w:cs="Arial"/>
              </w:rPr>
              <w:t xml:space="preserve"> and common law</w:t>
            </w:r>
            <w:r w:rsidRPr="00527E0C">
              <w:rPr>
                <w:rFonts w:cs="Arial"/>
              </w:rPr>
              <w:t>.</w:t>
            </w:r>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BodyTextIndent"/>
              <w:ind w:left="0"/>
              <w:rPr>
                <w:rFonts w:cs="Arial"/>
                <w:b/>
                <w:bCs/>
              </w:rPr>
            </w:pPr>
          </w:p>
        </w:tc>
      </w:tr>
      <w:tr w:rsidR="007A5FD4" w:rsidRPr="00527E0C" w:rsidTr="00837CC1">
        <w:tc>
          <w:tcPr>
            <w:tcW w:w="9351" w:type="dxa"/>
            <w:gridSpan w:val="2"/>
          </w:tcPr>
          <w:p w:rsidR="007A5FD4" w:rsidRPr="00527E0C" w:rsidRDefault="007A5FD4" w:rsidP="00B14DDA">
            <w:pPr>
              <w:pStyle w:val="Heading3"/>
            </w:pPr>
            <w:r w:rsidRPr="00527E0C">
              <w:tab/>
            </w:r>
            <w:bookmarkStart w:id="25" w:name="_Toc496602623"/>
            <w:r w:rsidR="00B63368" w:rsidRPr="00527E0C">
              <w:t>7</w:t>
            </w:r>
            <w:r w:rsidRPr="00527E0C">
              <w:t>.1 General Data Protection Regulations (Regulation (EU) 2016/679)</w:t>
            </w:r>
            <w:bookmarkEnd w:id="25"/>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BodyTextIndent"/>
              <w:ind w:left="0"/>
              <w:rPr>
                <w:rFonts w:cs="Arial"/>
                <w:b/>
                <w:bCs/>
              </w:rPr>
            </w:pPr>
          </w:p>
        </w:tc>
      </w:tr>
      <w:tr w:rsidR="007A5FD4" w:rsidRPr="00527E0C" w:rsidTr="00837CC1">
        <w:tc>
          <w:tcPr>
            <w:tcW w:w="808" w:type="dxa"/>
          </w:tcPr>
          <w:p w:rsidR="007A5FD4" w:rsidRPr="00527E0C" w:rsidRDefault="007A5FD4" w:rsidP="008048CA">
            <w:pPr>
              <w:rPr>
                <w:b/>
              </w:rPr>
            </w:pPr>
          </w:p>
        </w:tc>
        <w:tc>
          <w:tcPr>
            <w:tcW w:w="8543" w:type="dxa"/>
          </w:tcPr>
          <w:p w:rsidR="001970D5" w:rsidRPr="00527E0C" w:rsidRDefault="005432A4" w:rsidP="008048CA">
            <w:pPr>
              <w:pStyle w:val="BodyTextIndent"/>
              <w:ind w:left="0"/>
              <w:rPr>
                <w:rFonts w:cs="Arial"/>
                <w:bCs/>
              </w:rPr>
            </w:pPr>
            <w:r w:rsidRPr="00527E0C">
              <w:rPr>
                <w:rFonts w:cs="Arial"/>
                <w:bCs/>
              </w:rPr>
              <w:t xml:space="preserve">The GDPR were adopted by the EU in May 2016 and </w:t>
            </w:r>
            <w:r w:rsidR="007A0F24">
              <w:rPr>
                <w:rFonts w:cs="Arial"/>
                <w:bCs/>
              </w:rPr>
              <w:t>was</w:t>
            </w:r>
            <w:r w:rsidRPr="00527E0C">
              <w:rPr>
                <w:rFonts w:cs="Arial"/>
                <w:bCs/>
              </w:rPr>
              <w:t xml:space="preserve"> implemented in full </w:t>
            </w:r>
            <w:r w:rsidR="007A0F24">
              <w:rPr>
                <w:rFonts w:cs="Arial"/>
                <w:bCs/>
              </w:rPr>
              <w:t>on the</w:t>
            </w:r>
            <w:r w:rsidRPr="00527E0C">
              <w:rPr>
                <w:rFonts w:cs="Arial"/>
                <w:bCs/>
              </w:rPr>
              <w:t xml:space="preserve"> 25 May 2018. The GDPR will replace the previous Directive</w:t>
            </w:r>
            <w:r w:rsidR="006D6777" w:rsidRPr="00527E0C">
              <w:rPr>
                <w:rFonts w:cs="Arial"/>
                <w:bCs/>
              </w:rPr>
              <w:t xml:space="preserve"> 95/46/EC</w:t>
            </w:r>
            <w:r w:rsidRPr="00527E0C">
              <w:rPr>
                <w:rFonts w:cs="Arial"/>
                <w:bCs/>
              </w:rPr>
              <w:t xml:space="preserve"> on which the Data Protection Act 1998 was based. </w:t>
            </w:r>
            <w:r w:rsidR="00102E9B" w:rsidRPr="00527E0C">
              <w:rPr>
                <w:rFonts w:cs="Arial"/>
                <w:bCs/>
              </w:rPr>
              <w:t xml:space="preserve">All organisations must ensure they are fully compliant within the implementation period. </w:t>
            </w:r>
            <w:r w:rsidR="003304EC" w:rsidRPr="00527E0C">
              <w:rPr>
                <w:rFonts w:cs="Arial"/>
                <w:bCs/>
              </w:rPr>
              <w:t>T</w:t>
            </w:r>
            <w:r w:rsidR="001970D5" w:rsidRPr="00527E0C">
              <w:rPr>
                <w:rFonts w:cs="Arial"/>
                <w:bCs/>
              </w:rPr>
              <w:t xml:space="preserve">he GDPR requires that </w:t>
            </w:r>
            <w:r w:rsidR="003304EC" w:rsidRPr="00527E0C">
              <w:rPr>
                <w:rFonts w:cs="Arial"/>
                <w:bCs/>
              </w:rPr>
              <w:t xml:space="preserve">data controllers ensure </w:t>
            </w:r>
            <w:r w:rsidR="001970D5" w:rsidRPr="00527E0C">
              <w:rPr>
                <w:rFonts w:cs="Arial"/>
                <w:bCs/>
              </w:rPr>
              <w:t>personal data shall be:</w:t>
            </w:r>
          </w:p>
          <w:p w:rsidR="001970D5" w:rsidRPr="00527E0C" w:rsidRDefault="001970D5" w:rsidP="008048CA">
            <w:pPr>
              <w:pStyle w:val="BodyTextIndent"/>
              <w:ind w:left="0"/>
              <w:rPr>
                <w:rFonts w:cs="Arial"/>
                <w:bCs/>
              </w:rPr>
            </w:pPr>
          </w:p>
          <w:p w:rsidR="001970D5" w:rsidRPr="00527E0C" w:rsidRDefault="001970D5" w:rsidP="00D07659">
            <w:pPr>
              <w:pStyle w:val="BodyTextIndent"/>
              <w:numPr>
                <w:ilvl w:val="0"/>
                <w:numId w:val="25"/>
              </w:numPr>
              <w:rPr>
                <w:rFonts w:cs="Arial"/>
                <w:bCs/>
              </w:rPr>
            </w:pPr>
            <w:r w:rsidRPr="00527E0C">
              <w:rPr>
                <w:rFonts w:cs="Arial"/>
                <w:bCs/>
              </w:rPr>
              <w:t xml:space="preserve">processed lawfully, fairly and in a transparent manner in relation to </w:t>
            </w:r>
            <w:r w:rsidR="003304EC" w:rsidRPr="00527E0C">
              <w:rPr>
                <w:rFonts w:cs="Arial"/>
                <w:bCs/>
              </w:rPr>
              <w:t>individuals</w:t>
            </w:r>
          </w:p>
          <w:p w:rsidR="001970D5" w:rsidRPr="00527E0C" w:rsidRDefault="001970D5" w:rsidP="00D07659">
            <w:pPr>
              <w:pStyle w:val="BodyTextIndent"/>
              <w:numPr>
                <w:ilvl w:val="0"/>
                <w:numId w:val="25"/>
              </w:numPr>
              <w:rPr>
                <w:rFonts w:cs="Arial"/>
                <w:bCs/>
              </w:rPr>
            </w:pPr>
            <w:r w:rsidRPr="00527E0C">
              <w:rPr>
                <w:rFonts w:cs="Arial"/>
                <w:bCs/>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w:t>
            </w:r>
            <w:r w:rsidR="003304EC" w:rsidRPr="00527E0C">
              <w:rPr>
                <w:rFonts w:cs="Arial"/>
                <w:bCs/>
              </w:rPr>
              <w:t>tible with the initial purposes</w:t>
            </w:r>
          </w:p>
          <w:p w:rsidR="001970D5" w:rsidRPr="00527E0C" w:rsidRDefault="001970D5" w:rsidP="00D07659">
            <w:pPr>
              <w:pStyle w:val="BodyTextIndent"/>
              <w:numPr>
                <w:ilvl w:val="0"/>
                <w:numId w:val="25"/>
              </w:numPr>
              <w:rPr>
                <w:rFonts w:cs="Arial"/>
                <w:bCs/>
              </w:rPr>
            </w:pPr>
            <w:r w:rsidRPr="00527E0C">
              <w:rPr>
                <w:rFonts w:cs="Arial"/>
                <w:bCs/>
              </w:rPr>
              <w:t>adequate, relevant and limited to what is necessary in relation to the purpos</w:t>
            </w:r>
            <w:r w:rsidR="003304EC" w:rsidRPr="00527E0C">
              <w:rPr>
                <w:rFonts w:cs="Arial"/>
                <w:bCs/>
              </w:rPr>
              <w:t>es for which they are processed</w:t>
            </w:r>
          </w:p>
          <w:p w:rsidR="001970D5" w:rsidRPr="00527E0C" w:rsidRDefault="001970D5" w:rsidP="00D07659">
            <w:pPr>
              <w:pStyle w:val="BodyTextIndent"/>
              <w:numPr>
                <w:ilvl w:val="0"/>
                <w:numId w:val="25"/>
              </w:numPr>
              <w:rPr>
                <w:rFonts w:cs="Arial"/>
                <w:bCs/>
              </w:rPr>
            </w:pPr>
            <w:r w:rsidRPr="00527E0C">
              <w:rPr>
                <w:rFonts w:cs="Arial"/>
                <w:bCs/>
              </w:rPr>
              <w:t>accurate and, where necessary, kept up to date; every reasonable step must be taken to ensure that personal data that are inaccurate, having regard to the purposes for which they are processed, are er</w:t>
            </w:r>
            <w:r w:rsidR="003304EC" w:rsidRPr="00527E0C">
              <w:rPr>
                <w:rFonts w:cs="Arial"/>
                <w:bCs/>
              </w:rPr>
              <w:t>ased or rectified without delay</w:t>
            </w:r>
          </w:p>
          <w:p w:rsidR="001970D5" w:rsidRPr="00527E0C" w:rsidRDefault="001970D5" w:rsidP="00D07659">
            <w:pPr>
              <w:pStyle w:val="BodyTextIndent"/>
              <w:numPr>
                <w:ilvl w:val="0"/>
                <w:numId w:val="25"/>
              </w:numPr>
              <w:rPr>
                <w:rFonts w:cs="Arial"/>
                <w:bCs/>
              </w:rPr>
            </w:pPr>
            <w:r w:rsidRPr="00527E0C">
              <w:rPr>
                <w:rFonts w:cs="Arial"/>
                <w:bCs/>
              </w:rPr>
              <w:t xml:space="preserve">kept in a form which permits identification of data subjects for no longer than is necessary for the purposes for which the personal data are </w:t>
            </w:r>
            <w:r w:rsidRPr="00527E0C">
              <w:rPr>
                <w:rFonts w:cs="Arial"/>
                <w:bCs/>
              </w:rPr>
              <w:lastRenderedPageBreak/>
              <w:t>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w:t>
            </w:r>
            <w:r w:rsidR="003304EC" w:rsidRPr="00527E0C">
              <w:rPr>
                <w:rFonts w:cs="Arial"/>
                <w:bCs/>
              </w:rPr>
              <w:t>hts and freedoms of individuals</w:t>
            </w:r>
          </w:p>
          <w:p w:rsidR="001970D5" w:rsidRPr="00527E0C" w:rsidRDefault="001970D5" w:rsidP="00D07659">
            <w:pPr>
              <w:pStyle w:val="BodyTextIndent"/>
              <w:numPr>
                <w:ilvl w:val="0"/>
                <w:numId w:val="25"/>
              </w:numPr>
              <w:rPr>
                <w:rFonts w:cs="Arial"/>
                <w:bCs/>
              </w:rPr>
            </w:pPr>
            <w:r w:rsidRPr="00527E0C">
              <w:rPr>
                <w:rFonts w:cs="Arial"/>
                <w:bCs/>
              </w:rPr>
              <w:t>processed in a manner that ensures appropriate security of the personal data, including protection against unauthorised or unlawful processing and against accidental loss, destruction or damage, using appropriate technical or organisat</w:t>
            </w:r>
            <w:r w:rsidR="004C5B0F" w:rsidRPr="00527E0C">
              <w:rPr>
                <w:rFonts w:cs="Arial"/>
                <w:bCs/>
              </w:rPr>
              <w:t>ional measures</w:t>
            </w:r>
          </w:p>
          <w:p w:rsidR="001970D5" w:rsidRPr="00527E0C" w:rsidRDefault="001970D5" w:rsidP="008048CA">
            <w:pPr>
              <w:pStyle w:val="BodyTextIndent"/>
              <w:ind w:left="0"/>
              <w:rPr>
                <w:rFonts w:cs="Arial"/>
                <w:bCs/>
              </w:rPr>
            </w:pPr>
          </w:p>
          <w:p w:rsidR="00BB064A" w:rsidRPr="00527E0C" w:rsidRDefault="003304EC" w:rsidP="008048CA">
            <w:pPr>
              <w:pStyle w:val="BodyTextIndent"/>
              <w:ind w:left="0"/>
              <w:rPr>
                <w:rFonts w:cs="Arial"/>
                <w:bCs/>
              </w:rPr>
            </w:pPr>
            <w:r w:rsidRPr="00527E0C">
              <w:rPr>
                <w:rFonts w:cs="Arial"/>
                <w:bCs/>
              </w:rPr>
              <w:t xml:space="preserve">It is important to note that </w:t>
            </w:r>
            <w:r w:rsidR="00BB064A" w:rsidRPr="00527E0C">
              <w:rPr>
                <w:rFonts w:cs="Arial"/>
                <w:bCs/>
              </w:rPr>
              <w:t>the Regulation specif</w:t>
            </w:r>
            <w:r w:rsidR="00525211" w:rsidRPr="00527E0C">
              <w:rPr>
                <w:rFonts w:cs="Arial"/>
                <w:bCs/>
              </w:rPr>
              <w:t>ies</w:t>
            </w:r>
            <w:r w:rsidR="00BB064A" w:rsidRPr="00527E0C">
              <w:rPr>
                <w:rFonts w:cs="Arial"/>
                <w:bCs/>
              </w:rPr>
              <w:t xml:space="preserve"> that:</w:t>
            </w:r>
          </w:p>
          <w:p w:rsidR="00525211" w:rsidRPr="00527E0C" w:rsidRDefault="00525211" w:rsidP="00D07659">
            <w:pPr>
              <w:pStyle w:val="BodyTextIndent"/>
              <w:numPr>
                <w:ilvl w:val="0"/>
                <w:numId w:val="25"/>
              </w:numPr>
              <w:rPr>
                <w:rFonts w:cs="Arial"/>
                <w:bCs/>
              </w:rPr>
            </w:pPr>
            <w:r w:rsidRPr="00527E0C">
              <w:rPr>
                <w:rFonts w:cs="Arial"/>
                <w:bCs/>
              </w:rPr>
              <w:t>organisations are accountable for how they handle personal data and need to develop and maintain adequate policies, procedures, processes and systems to fulfil this role</w:t>
            </w:r>
          </w:p>
          <w:p w:rsidR="00BB064A" w:rsidRPr="00527E0C" w:rsidRDefault="003304EC" w:rsidP="00D07659">
            <w:pPr>
              <w:pStyle w:val="BodyTextIndent"/>
              <w:numPr>
                <w:ilvl w:val="0"/>
                <w:numId w:val="25"/>
              </w:numPr>
              <w:rPr>
                <w:rFonts w:cs="Arial"/>
                <w:bCs/>
              </w:rPr>
            </w:pPr>
            <w:r w:rsidRPr="00527E0C">
              <w:rPr>
                <w:rFonts w:cs="Arial"/>
                <w:bCs/>
              </w:rPr>
              <w:t>data processors can</w:t>
            </w:r>
            <w:r w:rsidR="004C5B0F" w:rsidRPr="00527E0C">
              <w:rPr>
                <w:rFonts w:cs="Arial"/>
                <w:bCs/>
              </w:rPr>
              <w:t xml:space="preserve"> be held liable for breaches</w:t>
            </w:r>
          </w:p>
          <w:p w:rsidR="007A5FD4" w:rsidRPr="00527E0C" w:rsidRDefault="00BB064A" w:rsidP="00D07659">
            <w:pPr>
              <w:pStyle w:val="BodyTextIndent"/>
              <w:numPr>
                <w:ilvl w:val="0"/>
                <w:numId w:val="25"/>
              </w:numPr>
              <w:rPr>
                <w:rFonts w:cs="Arial"/>
                <w:bCs/>
              </w:rPr>
            </w:pPr>
            <w:r w:rsidRPr="00527E0C">
              <w:rPr>
                <w:rFonts w:cs="Arial"/>
                <w:bCs/>
              </w:rPr>
              <w:t>al</w:t>
            </w:r>
            <w:r w:rsidR="003304EC" w:rsidRPr="00527E0C">
              <w:rPr>
                <w:rFonts w:cs="Arial"/>
                <w:bCs/>
              </w:rPr>
              <w:t>l actual information breaches must be reported via the IG Toolkit</w:t>
            </w:r>
            <w:r w:rsidR="00B14BD7" w:rsidRPr="00527E0C">
              <w:rPr>
                <w:rFonts w:cs="Arial"/>
                <w:bCs/>
              </w:rPr>
              <w:t xml:space="preserve"> (to the ICO)</w:t>
            </w:r>
            <w:r w:rsidR="003304EC" w:rsidRPr="00527E0C">
              <w:rPr>
                <w:rFonts w:cs="Arial"/>
                <w:bCs/>
              </w:rPr>
              <w:t xml:space="preserve"> wi</w:t>
            </w:r>
            <w:r w:rsidR="004C5B0F" w:rsidRPr="00527E0C">
              <w:rPr>
                <w:rFonts w:cs="Arial"/>
                <w:bCs/>
              </w:rPr>
              <w:t>thin 72 hours of becoming known</w:t>
            </w:r>
          </w:p>
          <w:p w:rsidR="003304EC" w:rsidRPr="00527E0C" w:rsidRDefault="00BB064A" w:rsidP="00D07659">
            <w:pPr>
              <w:pStyle w:val="BodyTextIndent"/>
              <w:numPr>
                <w:ilvl w:val="0"/>
                <w:numId w:val="25"/>
              </w:numPr>
              <w:rPr>
                <w:rFonts w:cs="Arial"/>
                <w:bCs/>
              </w:rPr>
            </w:pPr>
            <w:r w:rsidRPr="00527E0C">
              <w:rPr>
                <w:rFonts w:cs="Arial"/>
                <w:bCs/>
              </w:rPr>
              <w:t>t</w:t>
            </w:r>
            <w:r w:rsidR="003304EC" w:rsidRPr="00527E0C">
              <w:rPr>
                <w:rFonts w:cs="Arial"/>
                <w:bCs/>
              </w:rPr>
              <w:t xml:space="preserve">he penalty for breach of the Regulations is </w:t>
            </w:r>
            <w:r w:rsidR="00B14BD7" w:rsidRPr="00527E0C">
              <w:rPr>
                <w:rFonts w:cs="Arial"/>
                <w:bCs/>
              </w:rPr>
              <w:t xml:space="preserve">now </w:t>
            </w:r>
            <w:r w:rsidR="003304EC" w:rsidRPr="00527E0C">
              <w:rPr>
                <w:rFonts w:cs="Arial"/>
                <w:bCs/>
              </w:rPr>
              <w:t xml:space="preserve">capped at a maximum of €20,000,000 or 4% of </w:t>
            </w:r>
            <w:r w:rsidR="004C5B0F" w:rsidRPr="00527E0C">
              <w:rPr>
                <w:rFonts w:cs="Arial"/>
                <w:bCs/>
              </w:rPr>
              <w:t>the turnover of an organisation</w:t>
            </w:r>
          </w:p>
          <w:p w:rsidR="00BB064A" w:rsidRPr="00527E0C" w:rsidRDefault="00B14BD7" w:rsidP="00D07659">
            <w:pPr>
              <w:pStyle w:val="BodyTextIndent"/>
              <w:numPr>
                <w:ilvl w:val="0"/>
                <w:numId w:val="25"/>
              </w:numPr>
              <w:rPr>
                <w:rFonts w:cs="Arial"/>
                <w:bCs/>
              </w:rPr>
            </w:pPr>
            <w:r w:rsidRPr="00527E0C">
              <w:rPr>
                <w:rFonts w:cs="Arial"/>
                <w:bCs/>
              </w:rPr>
              <w:t xml:space="preserve">organisations must </w:t>
            </w:r>
            <w:r w:rsidR="00BB064A" w:rsidRPr="00527E0C">
              <w:rPr>
                <w:rFonts w:cs="Arial"/>
                <w:bCs/>
              </w:rPr>
              <w:t xml:space="preserve">employ </w:t>
            </w:r>
            <w:r w:rsidRPr="00527E0C">
              <w:rPr>
                <w:rFonts w:cs="Arial"/>
                <w:bCs/>
              </w:rPr>
              <w:t xml:space="preserve">the </w:t>
            </w:r>
            <w:r w:rsidR="00BB064A" w:rsidRPr="00527E0C">
              <w:rPr>
                <w:rFonts w:cs="Arial"/>
                <w:bCs/>
              </w:rPr>
              <w:t>privacy by design approach to activities involving personal data. A Data Protection Impact Assessment is required for any project where personal data will be processed or flow or it is otherwise anticipa</w:t>
            </w:r>
            <w:r w:rsidR="004C5B0F" w:rsidRPr="00527E0C">
              <w:rPr>
                <w:rFonts w:cs="Arial"/>
                <w:bCs/>
              </w:rPr>
              <w:t>ted to have a high privacy risk</w:t>
            </w:r>
          </w:p>
          <w:p w:rsidR="00BB064A" w:rsidRPr="00527E0C" w:rsidRDefault="00BB064A" w:rsidP="00D07659">
            <w:pPr>
              <w:pStyle w:val="BodyTextIndent"/>
              <w:numPr>
                <w:ilvl w:val="0"/>
                <w:numId w:val="25"/>
              </w:numPr>
              <w:rPr>
                <w:rFonts w:cs="Arial"/>
                <w:bCs/>
              </w:rPr>
            </w:pPr>
            <w:r w:rsidRPr="00527E0C">
              <w:rPr>
                <w:rFonts w:cs="Arial"/>
                <w:bCs/>
              </w:rPr>
              <w:t>fair processing notices must transparently explain how personal data is used and</w:t>
            </w:r>
            <w:r w:rsidR="004C5B0F" w:rsidRPr="00527E0C">
              <w:rPr>
                <w:rFonts w:cs="Arial"/>
                <w:bCs/>
              </w:rPr>
              <w:t xml:space="preserve"> the rights of the data subject</w:t>
            </w:r>
          </w:p>
          <w:p w:rsidR="00BB064A" w:rsidRPr="00527E0C" w:rsidRDefault="00BB064A" w:rsidP="00D07659">
            <w:pPr>
              <w:pStyle w:val="BodyTextIndent"/>
              <w:numPr>
                <w:ilvl w:val="0"/>
                <w:numId w:val="25"/>
              </w:numPr>
              <w:rPr>
                <w:rFonts w:cs="Arial"/>
                <w:bCs/>
              </w:rPr>
            </w:pPr>
            <w:r w:rsidRPr="00527E0C">
              <w:rPr>
                <w:rFonts w:cs="Arial"/>
                <w:bCs/>
              </w:rPr>
              <w:t>organisations outside of the EU are required to follow the principles of the Regulations if their customers/</w:t>
            </w:r>
            <w:r w:rsidR="004C5B0F" w:rsidRPr="00527E0C">
              <w:rPr>
                <w:rFonts w:cs="Arial"/>
                <w:bCs/>
              </w:rPr>
              <w:t>clients are based within the EU</w:t>
            </w:r>
          </w:p>
          <w:p w:rsidR="00BB064A" w:rsidRPr="00527E0C" w:rsidRDefault="00BB064A" w:rsidP="00D07659">
            <w:pPr>
              <w:pStyle w:val="BodyTextIndent"/>
              <w:numPr>
                <w:ilvl w:val="0"/>
                <w:numId w:val="25"/>
              </w:numPr>
              <w:rPr>
                <w:rFonts w:cs="Arial"/>
                <w:bCs/>
              </w:rPr>
            </w:pPr>
            <w:r w:rsidRPr="00527E0C">
              <w:rPr>
                <w:rFonts w:cs="Arial"/>
                <w:bCs/>
              </w:rPr>
              <w:t>the consent model for processing personal data is to be further defined (see Caldicott 3 report and corresponding consultation and direction</w:t>
            </w:r>
            <w:r w:rsidR="004C5B0F" w:rsidRPr="00527E0C">
              <w:rPr>
                <w:rFonts w:cs="Arial"/>
                <w:bCs/>
              </w:rPr>
              <w:t xml:space="preserve"> from the Department of Health)</w:t>
            </w:r>
          </w:p>
          <w:p w:rsidR="003304EC" w:rsidRPr="00527E0C" w:rsidRDefault="00B14BD7" w:rsidP="00D07659">
            <w:pPr>
              <w:pStyle w:val="BodyTextIndent"/>
              <w:numPr>
                <w:ilvl w:val="0"/>
                <w:numId w:val="25"/>
              </w:numPr>
              <w:rPr>
                <w:rFonts w:cs="Arial"/>
                <w:bCs/>
              </w:rPr>
            </w:pPr>
            <w:r w:rsidRPr="00527E0C">
              <w:rPr>
                <w:rFonts w:cs="Arial"/>
                <w:bCs/>
              </w:rPr>
              <w:t>as part of the implementation of</w:t>
            </w:r>
            <w:r w:rsidR="00BB064A" w:rsidRPr="00527E0C">
              <w:rPr>
                <w:rFonts w:cs="Arial"/>
                <w:bCs/>
              </w:rPr>
              <w:t xml:space="preserve"> </w:t>
            </w:r>
            <w:r w:rsidRPr="00527E0C">
              <w:rPr>
                <w:rFonts w:cs="Arial"/>
                <w:bCs/>
              </w:rPr>
              <w:t>the Regulations</w:t>
            </w:r>
            <w:r w:rsidR="00BB064A" w:rsidRPr="00527E0C">
              <w:rPr>
                <w:rFonts w:cs="Arial"/>
                <w:bCs/>
              </w:rPr>
              <w:t>, a register of data controllers, will no longer be maintained by the ICO</w:t>
            </w:r>
          </w:p>
          <w:p w:rsidR="00BB064A" w:rsidRPr="00527E0C" w:rsidRDefault="00BB064A" w:rsidP="00D07659">
            <w:pPr>
              <w:pStyle w:val="BodyTextIndent"/>
              <w:numPr>
                <w:ilvl w:val="0"/>
                <w:numId w:val="25"/>
              </w:numPr>
              <w:rPr>
                <w:rFonts w:cs="Arial"/>
                <w:bCs/>
              </w:rPr>
            </w:pPr>
            <w:r w:rsidRPr="00527E0C">
              <w:rPr>
                <w:rFonts w:cs="Arial"/>
                <w:bCs/>
              </w:rPr>
              <w:t xml:space="preserve">data subjects have the new right to erasure, </w:t>
            </w:r>
            <w:r w:rsidR="00525211" w:rsidRPr="00527E0C">
              <w:rPr>
                <w:rFonts w:cs="Arial"/>
                <w:bCs/>
              </w:rPr>
              <w:t xml:space="preserve">data portability, </w:t>
            </w:r>
            <w:r w:rsidR="00917CA1" w:rsidRPr="00527E0C">
              <w:rPr>
                <w:rFonts w:cs="Arial"/>
                <w:bCs/>
              </w:rPr>
              <w:t xml:space="preserve">review of automated decision making and profiling, </w:t>
            </w:r>
            <w:r w:rsidRPr="00527E0C">
              <w:rPr>
                <w:rFonts w:cs="Arial"/>
                <w:bCs/>
              </w:rPr>
              <w:t>to request their personal data are removed when an organisation is retaining them beyond a re</w:t>
            </w:r>
            <w:r w:rsidR="004C5B0F" w:rsidRPr="00527E0C">
              <w:rPr>
                <w:rFonts w:cs="Arial"/>
                <w:bCs/>
              </w:rPr>
              <w:t>asonable or defined time period</w:t>
            </w:r>
          </w:p>
          <w:p w:rsidR="00BB064A" w:rsidRPr="00527E0C" w:rsidRDefault="005432A4" w:rsidP="00D07659">
            <w:pPr>
              <w:pStyle w:val="BodyTextIndent"/>
              <w:numPr>
                <w:ilvl w:val="0"/>
                <w:numId w:val="25"/>
              </w:numPr>
              <w:rPr>
                <w:rFonts w:cs="Arial"/>
                <w:bCs/>
              </w:rPr>
            </w:pPr>
            <w:r w:rsidRPr="00527E0C">
              <w:rPr>
                <w:rFonts w:cs="Arial"/>
                <w:bCs/>
              </w:rPr>
              <w:t>s</w:t>
            </w:r>
            <w:r w:rsidR="00BB064A" w:rsidRPr="00527E0C">
              <w:rPr>
                <w:rFonts w:cs="Arial"/>
                <w:bCs/>
              </w:rPr>
              <w:t>ubject access requests must be completed within 30 days and provided free of charge (unless a</w:t>
            </w:r>
            <w:r w:rsidR="00B14BD7" w:rsidRPr="00527E0C">
              <w:rPr>
                <w:rFonts w:cs="Arial"/>
                <w:bCs/>
              </w:rPr>
              <w:t xml:space="preserve"> request</w:t>
            </w:r>
            <w:r w:rsidR="00BB064A" w:rsidRPr="00527E0C">
              <w:rPr>
                <w:rFonts w:cs="Arial"/>
                <w:bCs/>
              </w:rPr>
              <w:t xml:space="preserve"> is “manifestly unfounded or excessive”)</w:t>
            </w:r>
          </w:p>
          <w:p w:rsidR="00917CA1" w:rsidRPr="00527E0C" w:rsidRDefault="00917CA1" w:rsidP="00D07659">
            <w:pPr>
              <w:pStyle w:val="BodyTextIndent"/>
              <w:numPr>
                <w:ilvl w:val="0"/>
                <w:numId w:val="25"/>
              </w:numPr>
              <w:rPr>
                <w:rFonts w:cs="Arial"/>
                <w:bCs/>
              </w:rPr>
            </w:pPr>
            <w:r w:rsidRPr="00527E0C">
              <w:rPr>
                <w:rFonts w:cs="Arial"/>
                <w:bCs/>
              </w:rPr>
              <w:t>organisations must keep a record of processing activities</w:t>
            </w:r>
          </w:p>
          <w:p w:rsidR="00917CA1" w:rsidRPr="00527E0C" w:rsidRDefault="00917CA1" w:rsidP="00D07659">
            <w:pPr>
              <w:pStyle w:val="BodyTextIndent"/>
              <w:numPr>
                <w:ilvl w:val="0"/>
                <w:numId w:val="25"/>
              </w:numPr>
              <w:rPr>
                <w:rFonts w:cs="Arial"/>
                <w:bCs/>
              </w:rPr>
            </w:pPr>
            <w:r w:rsidRPr="00527E0C">
              <w:rPr>
                <w:rFonts w:cs="Arial"/>
                <w:bCs/>
              </w:rPr>
              <w:t>appointment of a Data Protection Officer</w:t>
            </w:r>
          </w:p>
          <w:p w:rsidR="00C1022D" w:rsidRPr="00527E0C" w:rsidRDefault="00C1022D" w:rsidP="00DA5353">
            <w:pPr>
              <w:pStyle w:val="BodyTextIndent"/>
              <w:rPr>
                <w:rFonts w:cs="Arial"/>
                <w:bCs/>
              </w:rPr>
            </w:pPr>
          </w:p>
          <w:p w:rsidR="00C1022D" w:rsidRPr="00527E0C" w:rsidRDefault="00C1022D" w:rsidP="00DA5353">
            <w:pPr>
              <w:pStyle w:val="BodyTextIndent"/>
              <w:ind w:left="0"/>
              <w:rPr>
                <w:rFonts w:cs="Arial"/>
                <w:bCs/>
              </w:rPr>
            </w:pPr>
            <w:r w:rsidRPr="00527E0C">
              <w:rPr>
                <w:rFonts w:cs="Arial"/>
                <w:bCs/>
              </w:rPr>
              <w:t>The Data Protection Bill</w:t>
            </w:r>
            <w:r w:rsidR="008641BB">
              <w:rPr>
                <w:rFonts w:cs="Arial"/>
                <w:bCs/>
              </w:rPr>
              <w:t xml:space="preserve"> 2017</w:t>
            </w:r>
            <w:r w:rsidRPr="00527E0C">
              <w:rPr>
                <w:rFonts w:cs="Arial"/>
                <w:bCs/>
              </w:rPr>
              <w:t xml:space="preserve"> includes the national derogations of the GDPR and the implementation of </w:t>
            </w:r>
            <w:r w:rsidRPr="00527E0C">
              <w:rPr>
                <w:rFonts w:cs="Arial"/>
                <w:color w:val="000000"/>
              </w:rPr>
              <w:t>Law Enforcement Directive (EU) 2016/680</w:t>
            </w:r>
            <w:r w:rsidR="008641BB">
              <w:rPr>
                <w:rFonts w:cs="Arial"/>
                <w:color w:val="000000"/>
              </w:rPr>
              <w:t>:</w:t>
            </w:r>
          </w:p>
          <w:p w:rsidR="00C1022D" w:rsidRPr="00527E0C" w:rsidRDefault="00C1022D" w:rsidP="00DA5353">
            <w:pPr>
              <w:pStyle w:val="BodyTextIndent"/>
              <w:rPr>
                <w:rFonts w:cs="Arial"/>
                <w:bCs/>
              </w:rPr>
            </w:pPr>
          </w:p>
          <w:p w:rsidR="00D07659" w:rsidRPr="00527E0C" w:rsidRDefault="00D07659" w:rsidP="00D07659">
            <w:pPr>
              <w:pStyle w:val="ListParagraph"/>
              <w:numPr>
                <w:ilvl w:val="0"/>
                <w:numId w:val="25"/>
              </w:numPr>
              <w:autoSpaceDE w:val="0"/>
              <w:autoSpaceDN w:val="0"/>
              <w:adjustRightInd w:val="0"/>
              <w:rPr>
                <w:rFonts w:cs="Arial"/>
                <w:color w:val="000000"/>
                <w:sz w:val="24"/>
                <w:szCs w:val="24"/>
              </w:rPr>
            </w:pPr>
            <w:r w:rsidRPr="00527E0C">
              <w:rPr>
                <w:rFonts w:cs="Arial"/>
                <w:color w:val="000000"/>
                <w:sz w:val="24"/>
                <w:szCs w:val="24"/>
              </w:rPr>
              <w:t xml:space="preserve">The processing of personal data for law enforcement </w:t>
            </w:r>
          </w:p>
          <w:p w:rsidR="00D07659" w:rsidRPr="00527E0C" w:rsidRDefault="00D07659" w:rsidP="00D07659">
            <w:pPr>
              <w:pStyle w:val="ListParagraph"/>
              <w:numPr>
                <w:ilvl w:val="0"/>
                <w:numId w:val="25"/>
              </w:numPr>
              <w:autoSpaceDE w:val="0"/>
              <w:autoSpaceDN w:val="0"/>
              <w:adjustRightInd w:val="0"/>
              <w:rPr>
                <w:rFonts w:cs="Arial"/>
                <w:color w:val="000000"/>
                <w:sz w:val="24"/>
                <w:szCs w:val="24"/>
              </w:rPr>
            </w:pPr>
            <w:r w:rsidRPr="00527E0C">
              <w:rPr>
                <w:rFonts w:cs="Arial"/>
                <w:color w:val="000000"/>
                <w:sz w:val="24"/>
                <w:szCs w:val="24"/>
              </w:rPr>
              <w:t>It defines which organisations are considered Public Authorities</w:t>
            </w:r>
          </w:p>
          <w:p w:rsidR="00D07659" w:rsidRPr="00527E0C" w:rsidRDefault="00D07659" w:rsidP="00D07659">
            <w:pPr>
              <w:pStyle w:val="ListParagraph"/>
              <w:numPr>
                <w:ilvl w:val="0"/>
                <w:numId w:val="25"/>
              </w:numPr>
              <w:autoSpaceDE w:val="0"/>
              <w:autoSpaceDN w:val="0"/>
              <w:adjustRightInd w:val="0"/>
              <w:rPr>
                <w:rFonts w:cs="Arial"/>
                <w:color w:val="000000"/>
                <w:sz w:val="24"/>
                <w:szCs w:val="24"/>
              </w:rPr>
            </w:pPr>
            <w:r w:rsidRPr="00527E0C">
              <w:rPr>
                <w:rFonts w:cs="Arial"/>
                <w:color w:val="000000"/>
                <w:sz w:val="24"/>
                <w:szCs w:val="24"/>
              </w:rPr>
              <w:t>Process of reporting and potential consequences of data breaches</w:t>
            </w:r>
          </w:p>
          <w:p w:rsidR="00D07659" w:rsidRPr="00527E0C" w:rsidRDefault="00D07659" w:rsidP="00D07659">
            <w:pPr>
              <w:pStyle w:val="ListParagraph"/>
              <w:numPr>
                <w:ilvl w:val="0"/>
                <w:numId w:val="25"/>
              </w:numPr>
              <w:autoSpaceDE w:val="0"/>
              <w:autoSpaceDN w:val="0"/>
              <w:adjustRightInd w:val="0"/>
              <w:rPr>
                <w:rFonts w:cs="Arial"/>
                <w:color w:val="000000"/>
                <w:sz w:val="24"/>
                <w:szCs w:val="24"/>
              </w:rPr>
            </w:pPr>
            <w:r w:rsidRPr="00527E0C">
              <w:rPr>
                <w:rFonts w:cs="Arial"/>
                <w:color w:val="000000"/>
                <w:sz w:val="24"/>
                <w:szCs w:val="24"/>
              </w:rPr>
              <w:t>The processing of personal data relating to children under the age of 13 years and the ability to seek the consent of children aged 13 years or older</w:t>
            </w:r>
          </w:p>
          <w:p w:rsidR="00D07659" w:rsidRPr="00527E0C" w:rsidRDefault="00D07659" w:rsidP="00D07659">
            <w:pPr>
              <w:pStyle w:val="ListParagraph"/>
              <w:numPr>
                <w:ilvl w:val="0"/>
                <w:numId w:val="25"/>
              </w:numPr>
              <w:autoSpaceDE w:val="0"/>
              <w:autoSpaceDN w:val="0"/>
              <w:adjustRightInd w:val="0"/>
              <w:rPr>
                <w:rFonts w:cs="Arial"/>
                <w:color w:val="000000"/>
                <w:sz w:val="24"/>
                <w:szCs w:val="24"/>
              </w:rPr>
            </w:pPr>
            <w:r w:rsidRPr="00527E0C">
              <w:rPr>
                <w:rFonts w:cs="Arial"/>
                <w:color w:val="000000"/>
                <w:sz w:val="24"/>
                <w:szCs w:val="24"/>
              </w:rPr>
              <w:t>Role and powers of ICO and provision to charge fees</w:t>
            </w:r>
          </w:p>
          <w:p w:rsidR="00D07659" w:rsidRPr="00527E0C" w:rsidRDefault="00D07659" w:rsidP="00D07659">
            <w:pPr>
              <w:pStyle w:val="ListParagraph"/>
              <w:numPr>
                <w:ilvl w:val="0"/>
                <w:numId w:val="25"/>
              </w:numPr>
              <w:autoSpaceDE w:val="0"/>
              <w:autoSpaceDN w:val="0"/>
              <w:adjustRightInd w:val="0"/>
              <w:rPr>
                <w:rFonts w:cs="Arial"/>
                <w:color w:val="000000"/>
                <w:sz w:val="24"/>
                <w:szCs w:val="24"/>
              </w:rPr>
            </w:pPr>
            <w:r w:rsidRPr="00527E0C">
              <w:rPr>
                <w:rFonts w:cs="Arial"/>
                <w:color w:val="000000"/>
                <w:sz w:val="24"/>
                <w:szCs w:val="24"/>
              </w:rPr>
              <w:lastRenderedPageBreak/>
              <w:t>Conditions for processing - listed</w:t>
            </w:r>
          </w:p>
          <w:p w:rsidR="00D07659" w:rsidRPr="00527E0C" w:rsidRDefault="00D07659" w:rsidP="00D07659">
            <w:pPr>
              <w:pStyle w:val="ListParagraph"/>
              <w:numPr>
                <w:ilvl w:val="0"/>
                <w:numId w:val="25"/>
              </w:numPr>
              <w:autoSpaceDE w:val="0"/>
              <w:autoSpaceDN w:val="0"/>
              <w:adjustRightInd w:val="0"/>
              <w:rPr>
                <w:rFonts w:cs="Arial"/>
                <w:color w:val="000000"/>
                <w:sz w:val="24"/>
                <w:szCs w:val="24"/>
              </w:rPr>
            </w:pPr>
            <w:r w:rsidRPr="00527E0C">
              <w:rPr>
                <w:rFonts w:cs="Arial"/>
                <w:color w:val="000000"/>
                <w:sz w:val="24"/>
                <w:szCs w:val="24"/>
              </w:rPr>
              <w:t xml:space="preserve">Allowances for complaints and compensation, which can now include financial loss, distress and other adverse effects. </w:t>
            </w:r>
          </w:p>
          <w:p w:rsidR="00D07659" w:rsidRPr="00527E0C" w:rsidRDefault="00D07659" w:rsidP="00D07659">
            <w:pPr>
              <w:pStyle w:val="ListParagraph"/>
              <w:numPr>
                <w:ilvl w:val="0"/>
                <w:numId w:val="25"/>
              </w:numPr>
              <w:autoSpaceDE w:val="0"/>
              <w:autoSpaceDN w:val="0"/>
              <w:adjustRightInd w:val="0"/>
              <w:rPr>
                <w:rFonts w:cs="Arial"/>
                <w:color w:val="000000"/>
                <w:sz w:val="24"/>
                <w:szCs w:val="24"/>
              </w:rPr>
            </w:pPr>
            <w:r w:rsidRPr="00527E0C">
              <w:rPr>
                <w:rFonts w:cs="Arial"/>
                <w:color w:val="000000"/>
                <w:sz w:val="24"/>
                <w:szCs w:val="24"/>
              </w:rPr>
              <w:t>Establishes new criminal offences:  “knowingly or recklessly to re-identify information that is de-identified personal data”, data theft, unlawful obtaining of personal data and alteration of personal data in a way to prevent it being disclosed.</w:t>
            </w:r>
          </w:p>
          <w:p w:rsidR="00C1022D" w:rsidRPr="00527E0C" w:rsidRDefault="00D07659" w:rsidP="00DA5353">
            <w:pPr>
              <w:pStyle w:val="ListParagraph"/>
              <w:numPr>
                <w:ilvl w:val="0"/>
                <w:numId w:val="25"/>
              </w:numPr>
              <w:autoSpaceDE w:val="0"/>
              <w:autoSpaceDN w:val="0"/>
              <w:adjustRightInd w:val="0"/>
              <w:rPr>
                <w:rFonts w:cs="Arial"/>
                <w:color w:val="000000"/>
                <w:sz w:val="24"/>
                <w:szCs w:val="24"/>
              </w:rPr>
            </w:pPr>
            <w:r w:rsidRPr="00527E0C">
              <w:rPr>
                <w:rFonts w:cs="Arial"/>
                <w:color w:val="000000"/>
                <w:sz w:val="24"/>
                <w:szCs w:val="24"/>
              </w:rPr>
              <w:t>Exemptions to the provisions of GDPR</w:t>
            </w:r>
          </w:p>
        </w:tc>
      </w:tr>
      <w:tr w:rsidR="004C5B0F" w:rsidRPr="00527E0C" w:rsidTr="00837CC1">
        <w:tc>
          <w:tcPr>
            <w:tcW w:w="808" w:type="dxa"/>
          </w:tcPr>
          <w:p w:rsidR="004C5B0F" w:rsidRPr="00527E0C" w:rsidRDefault="004C5B0F" w:rsidP="008048CA">
            <w:pPr>
              <w:rPr>
                <w:b/>
              </w:rPr>
            </w:pPr>
          </w:p>
        </w:tc>
        <w:tc>
          <w:tcPr>
            <w:tcW w:w="8543" w:type="dxa"/>
          </w:tcPr>
          <w:p w:rsidR="004C5B0F" w:rsidRPr="00527E0C" w:rsidRDefault="004C5B0F" w:rsidP="008048CA">
            <w:pPr>
              <w:pStyle w:val="Default"/>
              <w:rPr>
                <w:b/>
                <w:bCs/>
              </w:rPr>
            </w:pPr>
          </w:p>
        </w:tc>
      </w:tr>
      <w:tr w:rsidR="007A5FD4" w:rsidRPr="00527E0C" w:rsidTr="00837CC1">
        <w:tc>
          <w:tcPr>
            <w:tcW w:w="9351" w:type="dxa"/>
            <w:gridSpan w:val="2"/>
          </w:tcPr>
          <w:p w:rsidR="007A5FD4" w:rsidRPr="00527E0C" w:rsidRDefault="007A5FD4" w:rsidP="00B63368">
            <w:pPr>
              <w:pStyle w:val="Heading3"/>
            </w:pPr>
            <w:r w:rsidRPr="00527E0C">
              <w:tab/>
            </w:r>
            <w:bookmarkStart w:id="26" w:name="_Toc496602624"/>
            <w:r w:rsidR="00B63368" w:rsidRPr="00527E0C">
              <w:t>7.2</w:t>
            </w:r>
            <w:r w:rsidRPr="00527E0C">
              <w:t xml:space="preserve"> Human Rights Act 1998</w:t>
            </w:r>
            <w:bookmarkEnd w:id="26"/>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Default"/>
              <w:rPr>
                <w:b/>
                <w:bCs/>
              </w:rPr>
            </w:pPr>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Default"/>
            </w:pPr>
            <w:r w:rsidRPr="00527E0C">
              <w:t xml:space="preserve">Article 8 of the Human Rights Act 1998 established a right to respect for private and family life, home and correspondence.  This reinforces the duty to protect privacy of individuals and preserve the confidentiality of their health and social care records.  </w:t>
            </w:r>
          </w:p>
          <w:p w:rsidR="007A5FD4" w:rsidRPr="00527E0C" w:rsidRDefault="007A5FD4" w:rsidP="008048CA">
            <w:pPr>
              <w:pStyle w:val="Default"/>
            </w:pPr>
          </w:p>
          <w:p w:rsidR="007A5FD4" w:rsidRPr="00527E0C" w:rsidRDefault="007A5FD4" w:rsidP="008048CA">
            <w:pPr>
              <w:pStyle w:val="Default"/>
            </w:pPr>
            <w:r w:rsidRPr="00527E0C">
              <w:t xml:space="preserve">There should be no interference with the exercise of this right except as is in accordance with the law and is necessary in a democratic society in the interests of national security, public safety, the economic well-being of the country, for the prevention of disorder or crime, for the protection of health or morals, or for the protection of the rights and freedoms of others. </w:t>
            </w:r>
          </w:p>
        </w:tc>
      </w:tr>
      <w:tr w:rsidR="004C5B0F" w:rsidRPr="00527E0C" w:rsidTr="00837CC1">
        <w:tc>
          <w:tcPr>
            <w:tcW w:w="808" w:type="dxa"/>
          </w:tcPr>
          <w:p w:rsidR="004C5B0F" w:rsidRPr="00527E0C" w:rsidRDefault="004C5B0F" w:rsidP="008048CA">
            <w:pPr>
              <w:rPr>
                <w:b/>
              </w:rPr>
            </w:pPr>
          </w:p>
        </w:tc>
        <w:tc>
          <w:tcPr>
            <w:tcW w:w="8543" w:type="dxa"/>
          </w:tcPr>
          <w:p w:rsidR="004C5B0F" w:rsidRPr="00527E0C" w:rsidRDefault="004C5B0F" w:rsidP="008048CA">
            <w:pPr>
              <w:pStyle w:val="Default"/>
              <w:rPr>
                <w:b/>
                <w:bCs/>
              </w:rPr>
            </w:pPr>
          </w:p>
        </w:tc>
      </w:tr>
      <w:tr w:rsidR="007A5FD4" w:rsidRPr="00527E0C" w:rsidTr="00837CC1">
        <w:tc>
          <w:tcPr>
            <w:tcW w:w="9351" w:type="dxa"/>
            <w:gridSpan w:val="2"/>
          </w:tcPr>
          <w:p w:rsidR="007A5FD4" w:rsidRPr="00527E0C" w:rsidRDefault="007A5FD4" w:rsidP="00B63368">
            <w:pPr>
              <w:pStyle w:val="Heading3"/>
            </w:pPr>
            <w:r w:rsidRPr="00527E0C">
              <w:tab/>
            </w:r>
            <w:bookmarkStart w:id="27" w:name="_Toc496602625"/>
            <w:r w:rsidR="00B63368" w:rsidRPr="00527E0C">
              <w:t>7.3</w:t>
            </w:r>
            <w:r w:rsidRPr="00527E0C">
              <w:t xml:space="preserve"> Common Law Duty of Confidentiality</w:t>
            </w:r>
            <w:bookmarkEnd w:id="27"/>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Default"/>
              <w:rPr>
                <w:b/>
              </w:rPr>
            </w:pPr>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Default"/>
            </w:pPr>
            <w:r w:rsidRPr="00527E0C">
              <w:t>This duty is derived from case law and a series of court judgements based on the key principle that information given or obtained in confidence should not be used or disclosed further except in certain circumstances:</w:t>
            </w:r>
          </w:p>
          <w:p w:rsidR="007A5FD4" w:rsidRPr="00527E0C" w:rsidRDefault="007A5FD4" w:rsidP="008048CA">
            <w:pPr>
              <w:pStyle w:val="Default"/>
            </w:pPr>
          </w:p>
          <w:p w:rsidR="007A5FD4" w:rsidRPr="00527E0C" w:rsidRDefault="007A5FD4" w:rsidP="008048CA">
            <w:pPr>
              <w:pStyle w:val="ListParagraph"/>
              <w:numPr>
                <w:ilvl w:val="0"/>
                <w:numId w:val="13"/>
              </w:numPr>
              <w:ind w:left="387"/>
              <w:rPr>
                <w:rFonts w:cs="Arial"/>
                <w:sz w:val="24"/>
                <w:szCs w:val="24"/>
              </w:rPr>
            </w:pPr>
            <w:r w:rsidRPr="00527E0C">
              <w:rPr>
                <w:rFonts w:cs="Arial"/>
                <w:sz w:val="24"/>
                <w:szCs w:val="24"/>
              </w:rPr>
              <w:t>Where the individual to whom the information relates has consented</w:t>
            </w:r>
          </w:p>
          <w:p w:rsidR="007A5FD4" w:rsidRPr="00527E0C" w:rsidRDefault="007A5FD4" w:rsidP="008048CA">
            <w:pPr>
              <w:pStyle w:val="ListParagraph"/>
              <w:numPr>
                <w:ilvl w:val="0"/>
                <w:numId w:val="13"/>
              </w:numPr>
              <w:ind w:left="387"/>
              <w:rPr>
                <w:rFonts w:cs="Arial"/>
                <w:sz w:val="24"/>
                <w:szCs w:val="24"/>
              </w:rPr>
            </w:pPr>
            <w:r w:rsidRPr="00527E0C">
              <w:rPr>
                <w:rFonts w:cs="Arial"/>
                <w:sz w:val="24"/>
                <w:szCs w:val="24"/>
              </w:rPr>
              <w:t xml:space="preserve">Where disclosure is in the </w:t>
            </w:r>
            <w:r w:rsidR="007322C2" w:rsidRPr="00527E0C">
              <w:rPr>
                <w:rFonts w:cs="Arial"/>
                <w:sz w:val="24"/>
                <w:szCs w:val="24"/>
              </w:rPr>
              <w:t xml:space="preserve">overriding </w:t>
            </w:r>
            <w:r w:rsidRPr="00527E0C">
              <w:rPr>
                <w:rFonts w:cs="Arial"/>
                <w:sz w:val="24"/>
                <w:szCs w:val="24"/>
              </w:rPr>
              <w:t xml:space="preserve">public interest; </w:t>
            </w:r>
            <w:r w:rsidR="00891354" w:rsidRPr="00527E0C">
              <w:rPr>
                <w:rFonts w:cs="Arial"/>
                <w:sz w:val="24"/>
                <w:szCs w:val="24"/>
              </w:rPr>
              <w:t>OR</w:t>
            </w:r>
          </w:p>
          <w:p w:rsidR="007322C2" w:rsidRPr="00527E0C" w:rsidRDefault="007A5FD4" w:rsidP="007322C2">
            <w:pPr>
              <w:pStyle w:val="ListParagraph"/>
              <w:numPr>
                <w:ilvl w:val="0"/>
                <w:numId w:val="13"/>
              </w:numPr>
              <w:ind w:left="387"/>
              <w:rPr>
                <w:rFonts w:cs="Arial"/>
                <w:sz w:val="24"/>
                <w:szCs w:val="24"/>
              </w:rPr>
            </w:pPr>
            <w:r w:rsidRPr="00527E0C">
              <w:rPr>
                <w:rFonts w:cs="Arial"/>
                <w:sz w:val="24"/>
                <w:szCs w:val="24"/>
              </w:rPr>
              <w:t>Where there is a legal duty to do so, for example a court order</w:t>
            </w:r>
          </w:p>
          <w:p w:rsidR="007322C2" w:rsidRPr="00527E0C" w:rsidRDefault="007322C2" w:rsidP="00891354">
            <w:pPr>
              <w:pStyle w:val="ListParagraph"/>
              <w:ind w:left="387"/>
              <w:rPr>
                <w:rFonts w:cs="Arial"/>
                <w:sz w:val="24"/>
                <w:szCs w:val="24"/>
              </w:rPr>
            </w:pPr>
          </w:p>
          <w:p w:rsidR="007A5FD4" w:rsidRPr="00527E0C" w:rsidRDefault="007322C2" w:rsidP="00DA5353">
            <w:r w:rsidRPr="00527E0C">
              <w:t>The common law applies to information of both living and deceased patients.</w:t>
            </w:r>
          </w:p>
        </w:tc>
      </w:tr>
      <w:tr w:rsidR="00DA5353" w:rsidRPr="00527E0C" w:rsidTr="00837CC1">
        <w:tc>
          <w:tcPr>
            <w:tcW w:w="808" w:type="dxa"/>
          </w:tcPr>
          <w:p w:rsidR="00DA5353" w:rsidRPr="00527E0C" w:rsidRDefault="00DA5353" w:rsidP="008048CA">
            <w:pPr>
              <w:rPr>
                <w:b/>
              </w:rPr>
            </w:pPr>
          </w:p>
        </w:tc>
        <w:tc>
          <w:tcPr>
            <w:tcW w:w="8543" w:type="dxa"/>
          </w:tcPr>
          <w:p w:rsidR="00DA5353" w:rsidRPr="00527E0C" w:rsidRDefault="00DA5353" w:rsidP="008048CA">
            <w:pPr>
              <w:pStyle w:val="Default"/>
            </w:pPr>
          </w:p>
        </w:tc>
      </w:tr>
      <w:tr w:rsidR="007A5FD4" w:rsidRPr="00527E0C" w:rsidTr="00837CC1">
        <w:tc>
          <w:tcPr>
            <w:tcW w:w="9351" w:type="dxa"/>
            <w:gridSpan w:val="2"/>
          </w:tcPr>
          <w:p w:rsidR="007A5FD4" w:rsidRPr="00527E0C" w:rsidRDefault="007A5FD4" w:rsidP="00B63368">
            <w:pPr>
              <w:pStyle w:val="Heading3"/>
            </w:pPr>
            <w:r w:rsidRPr="00527E0C">
              <w:tab/>
            </w:r>
            <w:bookmarkStart w:id="28" w:name="_Toc496602626"/>
            <w:r w:rsidR="00B63368" w:rsidRPr="00527E0C">
              <w:t>7.4</w:t>
            </w:r>
            <w:r w:rsidRPr="00527E0C">
              <w:t xml:space="preserve"> Caldicott Principles</w:t>
            </w:r>
            <w:bookmarkEnd w:id="28"/>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Default"/>
              <w:rPr>
                <w:b/>
              </w:rPr>
            </w:pPr>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Default"/>
            </w:pPr>
            <w:r w:rsidRPr="00527E0C">
              <w:t xml:space="preserve">Dame Fiona Caldicott produced a report in 1997 on the use of patient information which resulted in the establishment of Caldicott Guardians across the NHS Structure. She was asked to conduct a further review and a new report: ‘Information to share or not to share’ was published in March 2013.  The recommendations of this report have been largely accepted by the government and a revised set of Caldicott Principles </w:t>
            </w:r>
            <w:r w:rsidR="002C5ABB" w:rsidRPr="00527E0C">
              <w:t>were</w:t>
            </w:r>
            <w:r w:rsidRPr="00527E0C">
              <w:t xml:space="preserve"> published:</w:t>
            </w:r>
          </w:p>
        </w:tc>
      </w:tr>
      <w:tr w:rsidR="004C5B0F" w:rsidRPr="00527E0C" w:rsidTr="00837CC1">
        <w:tc>
          <w:tcPr>
            <w:tcW w:w="808" w:type="dxa"/>
          </w:tcPr>
          <w:p w:rsidR="004C5B0F" w:rsidRPr="00527E0C" w:rsidRDefault="004C5B0F" w:rsidP="008048CA">
            <w:pPr>
              <w:rPr>
                <w:b/>
              </w:rPr>
            </w:pPr>
          </w:p>
        </w:tc>
        <w:tc>
          <w:tcPr>
            <w:tcW w:w="8543" w:type="dxa"/>
          </w:tcPr>
          <w:p w:rsidR="004C5B0F" w:rsidRPr="00527E0C" w:rsidRDefault="004C5B0F" w:rsidP="008048CA">
            <w:pPr>
              <w:pStyle w:val="Default"/>
              <w:rPr>
                <w:b/>
                <w:bCs/>
              </w:rPr>
            </w:pPr>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numPr>
                <w:ilvl w:val="0"/>
                <w:numId w:val="4"/>
              </w:numPr>
              <w:rPr>
                <w:lang w:eastAsia="en-GB"/>
              </w:rPr>
            </w:pPr>
            <w:r w:rsidRPr="00527E0C">
              <w:rPr>
                <w:bCs/>
                <w:i/>
                <w:lang w:eastAsia="en-GB"/>
              </w:rPr>
              <w:t>Justify the purpose(s)</w:t>
            </w:r>
            <w:r w:rsidRPr="00527E0C">
              <w:rPr>
                <w:b/>
                <w:bCs/>
                <w:lang w:eastAsia="en-GB"/>
              </w:rPr>
              <w:t xml:space="preserve"> </w:t>
            </w:r>
            <w:r w:rsidRPr="00527E0C">
              <w:rPr>
                <w:lang w:eastAsia="en-GB"/>
              </w:rPr>
              <w:br/>
              <w:t>Every proposed use or transfer of personal confidential data within or from an organisation should be clearly defined, scrutinised and documented with continuing uses regularly reviewed, by an appropriate guardian.</w:t>
            </w:r>
          </w:p>
          <w:p w:rsidR="007A5FD4" w:rsidRPr="00527E0C" w:rsidRDefault="007A5FD4" w:rsidP="008048CA">
            <w:pPr>
              <w:numPr>
                <w:ilvl w:val="0"/>
                <w:numId w:val="4"/>
              </w:numPr>
              <w:rPr>
                <w:lang w:eastAsia="en-GB"/>
              </w:rPr>
            </w:pPr>
            <w:r w:rsidRPr="00527E0C">
              <w:rPr>
                <w:bCs/>
                <w:i/>
                <w:lang w:eastAsia="en-GB"/>
              </w:rPr>
              <w:t>Don't use personal confidential data unless it is absolutely necessary</w:t>
            </w:r>
            <w:r w:rsidRPr="00527E0C">
              <w:rPr>
                <w:i/>
                <w:lang w:eastAsia="en-GB"/>
              </w:rPr>
              <w:br/>
            </w:r>
            <w:r w:rsidRPr="00527E0C">
              <w:rPr>
                <w:lang w:eastAsia="en-GB"/>
              </w:rPr>
              <w:t xml:space="preserve">Personal Confidential data items should not be included unless it is essential for the specified purpose(s) of that flow. The need for patients to be identified should be considered at each stage of satisfying the </w:t>
            </w:r>
            <w:r w:rsidRPr="00527E0C">
              <w:rPr>
                <w:lang w:eastAsia="en-GB"/>
              </w:rPr>
              <w:lastRenderedPageBreak/>
              <w:t>purpose(s).</w:t>
            </w:r>
          </w:p>
          <w:p w:rsidR="007A5FD4" w:rsidRPr="00527E0C" w:rsidRDefault="007A5FD4" w:rsidP="008048CA">
            <w:pPr>
              <w:numPr>
                <w:ilvl w:val="0"/>
                <w:numId w:val="4"/>
              </w:numPr>
              <w:rPr>
                <w:lang w:eastAsia="en-GB"/>
              </w:rPr>
            </w:pPr>
            <w:r w:rsidRPr="00527E0C">
              <w:rPr>
                <w:bCs/>
                <w:i/>
                <w:lang w:eastAsia="en-GB"/>
              </w:rPr>
              <w:t>Use the minimum necessary personal confidential data</w:t>
            </w:r>
            <w:r w:rsidRPr="00527E0C">
              <w:rPr>
                <w:lang w:eastAsia="en-GB"/>
              </w:rPr>
              <w:br/>
              <w:t>Where use of personal confidential data is considered to be essential, the inclusion of each individual item of data should be considered and justified so that the minimum amount of personal confidential data is transferred or accessible as is necessary for a given function to be carried out.</w:t>
            </w:r>
          </w:p>
          <w:p w:rsidR="007A5FD4" w:rsidRPr="00527E0C" w:rsidRDefault="007A5FD4" w:rsidP="008048CA">
            <w:pPr>
              <w:numPr>
                <w:ilvl w:val="0"/>
                <w:numId w:val="4"/>
              </w:numPr>
              <w:rPr>
                <w:lang w:eastAsia="en-GB"/>
              </w:rPr>
            </w:pPr>
            <w:r w:rsidRPr="00527E0C">
              <w:rPr>
                <w:bCs/>
                <w:i/>
                <w:lang w:eastAsia="en-GB"/>
              </w:rPr>
              <w:t>Access to personal confidential data should be on a strict need-to-know basis</w:t>
            </w:r>
            <w:r w:rsidRPr="00527E0C">
              <w:rPr>
                <w:i/>
                <w:lang w:eastAsia="en-GB"/>
              </w:rPr>
              <w:br/>
            </w:r>
            <w:r w:rsidRPr="00527E0C">
              <w:rPr>
                <w:lang w:eastAsia="en-GB"/>
              </w:rPr>
              <w:t>Only those individuals who need access to personal confidential data should have access to it, and they should only have access to the data items that they need to see. This may mean introducing access controls or splitting data flows where one data flow is used for several purposes.</w:t>
            </w:r>
          </w:p>
          <w:p w:rsidR="007A5FD4" w:rsidRPr="00527E0C" w:rsidRDefault="007A5FD4" w:rsidP="008048CA">
            <w:pPr>
              <w:numPr>
                <w:ilvl w:val="0"/>
                <w:numId w:val="4"/>
              </w:numPr>
              <w:rPr>
                <w:lang w:eastAsia="en-GB"/>
              </w:rPr>
            </w:pPr>
            <w:r w:rsidRPr="00527E0C">
              <w:rPr>
                <w:bCs/>
                <w:i/>
                <w:lang w:eastAsia="en-GB"/>
              </w:rPr>
              <w:t>Everyone with access to personal confidential data should be aware of their responsibilities</w:t>
            </w:r>
            <w:r w:rsidRPr="00527E0C">
              <w:rPr>
                <w:lang w:eastAsia="en-GB"/>
              </w:rPr>
              <w:br/>
              <w:t>Action should be taken to ensure that those handling personal confidential data - both clinical and non-clinical staff - are made fully aware of their responsibilities and obligations to respect patient confidentiality.</w:t>
            </w:r>
          </w:p>
          <w:p w:rsidR="007A5FD4" w:rsidRPr="00527E0C" w:rsidRDefault="007A5FD4" w:rsidP="008048CA">
            <w:pPr>
              <w:numPr>
                <w:ilvl w:val="0"/>
                <w:numId w:val="4"/>
              </w:numPr>
              <w:rPr>
                <w:lang w:eastAsia="en-GB"/>
              </w:rPr>
            </w:pPr>
            <w:r w:rsidRPr="00527E0C">
              <w:rPr>
                <w:bCs/>
                <w:i/>
                <w:lang w:eastAsia="en-GB"/>
              </w:rPr>
              <w:t>Understand and comply with the law</w:t>
            </w:r>
            <w:r w:rsidRPr="00527E0C">
              <w:rPr>
                <w:i/>
                <w:lang w:eastAsia="en-GB"/>
              </w:rPr>
              <w:br/>
            </w:r>
            <w:r w:rsidRPr="00527E0C">
              <w:rPr>
                <w:lang w:eastAsia="en-GB"/>
              </w:rPr>
              <w:t>Every use of personal confidential data must be lawful. Someone in each organisation handling personal confidential data should be responsible for ensuring that the organisation complies with legal requirements.</w:t>
            </w:r>
          </w:p>
          <w:p w:rsidR="007A5FD4" w:rsidRPr="00527E0C" w:rsidRDefault="007A5FD4" w:rsidP="008048CA">
            <w:pPr>
              <w:numPr>
                <w:ilvl w:val="0"/>
                <w:numId w:val="4"/>
              </w:numPr>
            </w:pPr>
            <w:r w:rsidRPr="00527E0C">
              <w:rPr>
                <w:i/>
                <w:lang w:eastAsia="en-GB"/>
              </w:rPr>
              <w:t>The duty to share information can be as important as the duty to protect patient confidentiality</w:t>
            </w:r>
            <w:r w:rsidRPr="00527E0C">
              <w:rPr>
                <w:lang w:eastAsia="en-GB"/>
              </w:rPr>
              <w:br/>
              <w:t>Health and Social Care professionals should have the confidence to share information in the best interests of their patients within the frameworks set out by these principles.  They should be supported by the policies of their employers, regulators and professional bodies.</w:t>
            </w:r>
          </w:p>
          <w:p w:rsidR="004655E4" w:rsidRPr="00527E0C" w:rsidRDefault="004655E4" w:rsidP="004655E4">
            <w:pPr>
              <w:ind w:left="360"/>
            </w:pPr>
          </w:p>
        </w:tc>
      </w:tr>
      <w:tr w:rsidR="007A5FD4" w:rsidRPr="00527E0C" w:rsidTr="00837CC1">
        <w:tc>
          <w:tcPr>
            <w:tcW w:w="808" w:type="dxa"/>
          </w:tcPr>
          <w:p w:rsidR="007A5FD4" w:rsidRPr="00527E0C" w:rsidRDefault="007A5FD4" w:rsidP="008048CA">
            <w:pPr>
              <w:rPr>
                <w:b/>
              </w:rPr>
            </w:pPr>
          </w:p>
        </w:tc>
        <w:tc>
          <w:tcPr>
            <w:tcW w:w="8543" w:type="dxa"/>
          </w:tcPr>
          <w:p w:rsidR="00F02746" w:rsidRPr="00527E0C" w:rsidRDefault="007A5FD4" w:rsidP="0064217D">
            <w:pPr>
              <w:pStyle w:val="Default"/>
              <w:rPr>
                <w:bCs/>
              </w:rPr>
            </w:pPr>
            <w:r w:rsidRPr="00527E0C">
              <w:rPr>
                <w:color w:val="auto"/>
              </w:rPr>
              <w:t>The Caldicott Guardian also has a strategic and operational role, which involves representing and championing confidentiality and information sharing requirements and issues at senior management level and, where appropriate, at a range of levels within the organisation’</w:t>
            </w:r>
            <w:r w:rsidR="008C2419" w:rsidRPr="00527E0C">
              <w:rPr>
                <w:color w:val="auto"/>
              </w:rPr>
              <w:t>s overall governance framework.</w:t>
            </w:r>
            <w:r w:rsidRPr="00527E0C">
              <w:rPr>
                <w:color w:val="auto"/>
              </w:rPr>
              <w:t xml:space="preserve"> A detailed description of the Caldicott Function is given in the </w:t>
            </w:r>
            <w:r w:rsidRPr="00527E0C">
              <w:rPr>
                <w:bCs/>
              </w:rPr>
              <w:t xml:space="preserve">Information Governance </w:t>
            </w:r>
            <w:r w:rsidR="00A64430" w:rsidRPr="00527E0C">
              <w:rPr>
                <w:bCs/>
              </w:rPr>
              <w:t>Strategy</w:t>
            </w:r>
            <w:r w:rsidRPr="00527E0C">
              <w:rPr>
                <w:bCs/>
              </w:rPr>
              <w:t>.</w:t>
            </w:r>
          </w:p>
          <w:p w:rsidR="005E3191" w:rsidRPr="00527E0C" w:rsidRDefault="005E3191" w:rsidP="0064217D">
            <w:pPr>
              <w:pStyle w:val="Default"/>
              <w:rPr>
                <w:bCs/>
              </w:rPr>
            </w:pPr>
          </w:p>
          <w:p w:rsidR="005E3191" w:rsidRPr="00527E0C" w:rsidRDefault="00FA0FCB" w:rsidP="00907698">
            <w:pPr>
              <w:pStyle w:val="Default"/>
              <w:rPr>
                <w:bCs/>
              </w:rPr>
            </w:pPr>
            <w:r w:rsidRPr="00527E0C">
              <w:rPr>
                <w:bCs/>
              </w:rPr>
              <w:t>In 2014</w:t>
            </w:r>
            <w:r w:rsidR="005E3191" w:rsidRPr="00527E0C">
              <w:rPr>
                <w:bCs/>
              </w:rPr>
              <w:t>, the post of National Data Guardian was established</w:t>
            </w:r>
            <w:r w:rsidRPr="00527E0C">
              <w:rPr>
                <w:bCs/>
              </w:rPr>
              <w:t>, with the role of  help</w:t>
            </w:r>
            <w:r w:rsidR="00907698" w:rsidRPr="00527E0C">
              <w:rPr>
                <w:bCs/>
              </w:rPr>
              <w:t>ing to</w:t>
            </w:r>
            <w:r w:rsidRPr="00527E0C">
              <w:rPr>
                <w:bCs/>
              </w:rPr>
              <w:t xml:space="preserve"> make sure the public can trust their confidential information is securely safeguarded and make sure that it is used to support citizens’ care and to achieve better outcomes from health and care services.</w:t>
            </w:r>
          </w:p>
        </w:tc>
      </w:tr>
      <w:tr w:rsidR="004A5017" w:rsidRPr="00527E0C" w:rsidTr="00837CC1">
        <w:tc>
          <w:tcPr>
            <w:tcW w:w="808" w:type="dxa"/>
          </w:tcPr>
          <w:p w:rsidR="004A5017" w:rsidRPr="00527E0C" w:rsidRDefault="004A5017" w:rsidP="004A5017">
            <w:pPr>
              <w:rPr>
                <w:b/>
              </w:rPr>
            </w:pPr>
          </w:p>
        </w:tc>
        <w:tc>
          <w:tcPr>
            <w:tcW w:w="8543" w:type="dxa"/>
          </w:tcPr>
          <w:p w:rsidR="004A5017" w:rsidRPr="00527E0C" w:rsidRDefault="004A5017" w:rsidP="004A5017">
            <w:pPr>
              <w:pStyle w:val="Default"/>
              <w:rPr>
                <w:b/>
              </w:rPr>
            </w:pPr>
          </w:p>
        </w:tc>
      </w:tr>
      <w:tr w:rsidR="004A5017" w:rsidRPr="00527E0C" w:rsidTr="00837CC1">
        <w:tc>
          <w:tcPr>
            <w:tcW w:w="9351" w:type="dxa"/>
            <w:gridSpan w:val="2"/>
          </w:tcPr>
          <w:p w:rsidR="004A5017" w:rsidRPr="00527E0C" w:rsidRDefault="004A5017" w:rsidP="00B63368">
            <w:pPr>
              <w:pStyle w:val="Heading3"/>
            </w:pPr>
            <w:r w:rsidRPr="00527E0C">
              <w:tab/>
            </w:r>
            <w:bookmarkStart w:id="29" w:name="_Toc496602627"/>
            <w:r w:rsidR="00B63368" w:rsidRPr="00527E0C">
              <w:t>7.5</w:t>
            </w:r>
            <w:r w:rsidRPr="00527E0C">
              <w:t xml:space="preserve"> Information Commissioner’s Office Codes of Practice</w:t>
            </w:r>
            <w:bookmarkEnd w:id="29"/>
          </w:p>
        </w:tc>
      </w:tr>
      <w:tr w:rsidR="00DA5353" w:rsidRPr="00527E0C" w:rsidTr="00837CC1">
        <w:tc>
          <w:tcPr>
            <w:tcW w:w="808" w:type="dxa"/>
          </w:tcPr>
          <w:p w:rsidR="00DA5353" w:rsidRPr="00527E0C" w:rsidRDefault="00DA5353" w:rsidP="004A5017">
            <w:pPr>
              <w:rPr>
                <w:b/>
              </w:rPr>
            </w:pPr>
          </w:p>
        </w:tc>
        <w:tc>
          <w:tcPr>
            <w:tcW w:w="8543" w:type="dxa"/>
          </w:tcPr>
          <w:p w:rsidR="00DA5353" w:rsidRPr="00527E0C" w:rsidRDefault="00DA5353" w:rsidP="004A5017">
            <w:pPr>
              <w:pStyle w:val="Default"/>
              <w:rPr>
                <w:b/>
              </w:rPr>
            </w:pPr>
          </w:p>
        </w:tc>
      </w:tr>
      <w:tr w:rsidR="004A5017" w:rsidRPr="00527E0C" w:rsidTr="00837CC1">
        <w:tc>
          <w:tcPr>
            <w:tcW w:w="808" w:type="dxa"/>
          </w:tcPr>
          <w:p w:rsidR="004A5017" w:rsidRPr="00527E0C" w:rsidRDefault="004A5017" w:rsidP="004A5017">
            <w:pPr>
              <w:rPr>
                <w:b/>
              </w:rPr>
            </w:pPr>
          </w:p>
        </w:tc>
        <w:tc>
          <w:tcPr>
            <w:tcW w:w="8543" w:type="dxa"/>
          </w:tcPr>
          <w:p w:rsidR="004A5017" w:rsidRPr="00527E0C" w:rsidRDefault="004A5017" w:rsidP="004A5017">
            <w:pPr>
              <w:pStyle w:val="Default"/>
              <w:rPr>
                <w:b/>
              </w:rPr>
            </w:pPr>
          </w:p>
          <w:p w:rsidR="00891354" w:rsidRPr="00527E0C" w:rsidRDefault="00891354">
            <w:pPr>
              <w:pStyle w:val="Default"/>
            </w:pPr>
            <w:r w:rsidRPr="00527E0C">
              <w:t xml:space="preserve">The </w:t>
            </w:r>
            <w:r w:rsidR="00287C0B">
              <w:t>Practice</w:t>
            </w:r>
            <w:r w:rsidRPr="00527E0C">
              <w:t xml:space="preserve"> processes data that is covered in the following </w:t>
            </w:r>
            <w:hyperlink r:id="rId9" w:history="1">
              <w:r w:rsidRPr="00527E0C">
                <w:rPr>
                  <w:rStyle w:val="Hyperlink"/>
                </w:rPr>
                <w:t>Codes of Practice</w:t>
              </w:r>
            </w:hyperlink>
            <w:r w:rsidRPr="00527E0C">
              <w:t xml:space="preserve"> published by the Information Commissioner’s Office (ICO)</w:t>
            </w:r>
            <w:r w:rsidR="00DA5353" w:rsidRPr="00527E0C">
              <w:t>:</w:t>
            </w:r>
          </w:p>
        </w:tc>
      </w:tr>
      <w:tr w:rsidR="004A5017" w:rsidRPr="00527E0C" w:rsidTr="00837CC1">
        <w:tc>
          <w:tcPr>
            <w:tcW w:w="808" w:type="dxa"/>
          </w:tcPr>
          <w:p w:rsidR="004A5017" w:rsidRPr="00527E0C" w:rsidRDefault="004A5017" w:rsidP="004A5017">
            <w:pPr>
              <w:rPr>
                <w:b/>
              </w:rPr>
            </w:pPr>
          </w:p>
        </w:tc>
        <w:tc>
          <w:tcPr>
            <w:tcW w:w="8543" w:type="dxa"/>
          </w:tcPr>
          <w:p w:rsidR="00D838C8" w:rsidRPr="00527E0C" w:rsidRDefault="00D838C8" w:rsidP="00DA5353">
            <w:pPr>
              <w:pStyle w:val="Default"/>
              <w:numPr>
                <w:ilvl w:val="0"/>
                <w:numId w:val="31"/>
              </w:numPr>
            </w:pPr>
            <w:r w:rsidRPr="00527E0C">
              <w:t>Data sharing</w:t>
            </w:r>
          </w:p>
          <w:p w:rsidR="00D838C8" w:rsidRPr="00527E0C" w:rsidRDefault="00D838C8" w:rsidP="00DA5353">
            <w:pPr>
              <w:pStyle w:val="Default"/>
              <w:numPr>
                <w:ilvl w:val="0"/>
                <w:numId w:val="31"/>
              </w:numPr>
            </w:pPr>
            <w:r w:rsidRPr="00527E0C">
              <w:t>Subject access</w:t>
            </w:r>
          </w:p>
          <w:p w:rsidR="00D838C8" w:rsidRPr="00527E0C" w:rsidRDefault="00D838C8" w:rsidP="00DA5353">
            <w:pPr>
              <w:pStyle w:val="Default"/>
              <w:numPr>
                <w:ilvl w:val="0"/>
                <w:numId w:val="31"/>
              </w:numPr>
            </w:pPr>
            <w:r w:rsidRPr="00527E0C">
              <w:t>Closed Circuit Television</w:t>
            </w:r>
          </w:p>
          <w:p w:rsidR="00D838C8" w:rsidRPr="00527E0C" w:rsidRDefault="00D838C8" w:rsidP="00DA5353">
            <w:pPr>
              <w:pStyle w:val="Default"/>
              <w:numPr>
                <w:ilvl w:val="0"/>
                <w:numId w:val="31"/>
              </w:numPr>
            </w:pPr>
            <w:r w:rsidRPr="00527E0C">
              <w:t>Privacy Notices</w:t>
            </w:r>
          </w:p>
          <w:p w:rsidR="00D838C8" w:rsidRPr="00527E0C" w:rsidRDefault="00D838C8" w:rsidP="00DA5353">
            <w:pPr>
              <w:pStyle w:val="Default"/>
              <w:numPr>
                <w:ilvl w:val="0"/>
                <w:numId w:val="31"/>
              </w:numPr>
            </w:pPr>
            <w:r w:rsidRPr="00527E0C">
              <w:t>Employment Practices</w:t>
            </w:r>
          </w:p>
          <w:p w:rsidR="00D838C8" w:rsidRPr="00527E0C" w:rsidRDefault="00D838C8" w:rsidP="00DA5353">
            <w:pPr>
              <w:pStyle w:val="Default"/>
              <w:numPr>
                <w:ilvl w:val="0"/>
                <w:numId w:val="31"/>
              </w:numPr>
            </w:pPr>
            <w:r w:rsidRPr="00527E0C">
              <w:t>Anonymisation</w:t>
            </w:r>
          </w:p>
          <w:p w:rsidR="00D838C8" w:rsidRPr="00527E0C" w:rsidRDefault="00D838C8" w:rsidP="00DA5353">
            <w:pPr>
              <w:pStyle w:val="Default"/>
              <w:numPr>
                <w:ilvl w:val="0"/>
                <w:numId w:val="31"/>
              </w:numPr>
            </w:pPr>
            <w:r w:rsidRPr="00527E0C">
              <w:lastRenderedPageBreak/>
              <w:t>Personal Information Online</w:t>
            </w:r>
          </w:p>
          <w:p w:rsidR="00D838C8" w:rsidRPr="00527E0C" w:rsidRDefault="00D838C8" w:rsidP="00DA5353">
            <w:pPr>
              <w:pStyle w:val="Default"/>
              <w:numPr>
                <w:ilvl w:val="0"/>
                <w:numId w:val="31"/>
              </w:numPr>
            </w:pPr>
            <w:r w:rsidRPr="00527E0C">
              <w:t>Privacy Impact Assessments</w:t>
            </w:r>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Default"/>
              <w:rPr>
                <w:color w:val="auto"/>
              </w:rPr>
            </w:pPr>
          </w:p>
        </w:tc>
      </w:tr>
      <w:tr w:rsidR="007A5FD4" w:rsidRPr="00527E0C" w:rsidTr="00837CC1">
        <w:tc>
          <w:tcPr>
            <w:tcW w:w="9351" w:type="dxa"/>
            <w:gridSpan w:val="2"/>
          </w:tcPr>
          <w:p w:rsidR="007A5FD4" w:rsidRPr="00527E0C" w:rsidRDefault="00B63368" w:rsidP="00B63368">
            <w:pPr>
              <w:pStyle w:val="Heading3"/>
              <w:ind w:left="1027" w:hanging="425"/>
            </w:pPr>
            <w:bookmarkStart w:id="30" w:name="_Toc496602628"/>
            <w:r w:rsidRPr="00527E0C">
              <w:t>7.6</w:t>
            </w:r>
            <w:r w:rsidR="007A5FD4" w:rsidRPr="00527E0C">
              <w:t xml:space="preserve"> </w:t>
            </w:r>
            <w:r w:rsidR="00BF1A47" w:rsidRPr="00527E0C">
              <w:t>NHS Digital (</w:t>
            </w:r>
            <w:r w:rsidR="007322C2" w:rsidRPr="00527E0C">
              <w:t xml:space="preserve">formerly </w:t>
            </w:r>
            <w:r w:rsidR="007A5FD4" w:rsidRPr="00527E0C">
              <w:t>Health and Socia</w:t>
            </w:r>
            <w:r w:rsidR="00BF1A47" w:rsidRPr="00527E0C">
              <w:t>l Care Information Centre</w:t>
            </w:r>
            <w:r w:rsidRPr="00527E0C">
              <w:t xml:space="preserve">) </w:t>
            </w:r>
            <w:r w:rsidR="007A5FD4" w:rsidRPr="00527E0C">
              <w:t>Guidance</w:t>
            </w:r>
            <w:bookmarkEnd w:id="30"/>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Default"/>
              <w:rPr>
                <w:b/>
              </w:rPr>
            </w:pPr>
          </w:p>
        </w:tc>
      </w:tr>
      <w:tr w:rsidR="007A5FD4" w:rsidRPr="00527E0C" w:rsidTr="00837CC1">
        <w:tc>
          <w:tcPr>
            <w:tcW w:w="808" w:type="dxa"/>
          </w:tcPr>
          <w:p w:rsidR="007A5FD4" w:rsidRPr="00527E0C" w:rsidRDefault="007A5FD4" w:rsidP="008048CA">
            <w:pPr>
              <w:rPr>
                <w:b/>
              </w:rPr>
            </w:pPr>
          </w:p>
        </w:tc>
        <w:tc>
          <w:tcPr>
            <w:tcW w:w="8543" w:type="dxa"/>
          </w:tcPr>
          <w:p w:rsidR="00C1022D" w:rsidRPr="00527E0C" w:rsidRDefault="007A5FD4" w:rsidP="008048CA">
            <w:pPr>
              <w:pStyle w:val="Default"/>
            </w:pPr>
            <w:r w:rsidRPr="00527E0C">
              <w:t xml:space="preserve">This organisation was established in April 2013 and </w:t>
            </w:r>
            <w:r w:rsidR="00BF1A47" w:rsidRPr="00527E0C">
              <w:t>is</w:t>
            </w:r>
            <w:r w:rsidRPr="00527E0C">
              <w:t xml:space="preserve"> responsible for facilitating the management and sharing of data across the NHS to support both operational and other functions such as planning, research and assessments.  </w:t>
            </w:r>
          </w:p>
          <w:p w:rsidR="00C1022D" w:rsidRPr="00527E0C" w:rsidRDefault="00C1022D" w:rsidP="008048CA">
            <w:pPr>
              <w:pStyle w:val="Default"/>
            </w:pPr>
          </w:p>
          <w:p w:rsidR="00C1022D" w:rsidRPr="00527E0C" w:rsidRDefault="00C1022D" w:rsidP="00C1022D">
            <w:pPr>
              <w:autoSpaceDE w:val="0"/>
              <w:autoSpaceDN w:val="0"/>
              <w:adjustRightInd w:val="0"/>
              <w:rPr>
                <w:color w:val="000000"/>
              </w:rPr>
            </w:pPr>
            <w:r w:rsidRPr="00527E0C">
              <w:rPr>
                <w:color w:val="000000"/>
              </w:rPr>
              <w:t>Directions from NHS England allow NHS Digital to capture local healthcare information for commissioning purposes. To enable intelligent commissioning of healthcare services, NHS Digital collects, analyses, and processes healthcare data into a format that allows the appropriate commissioners access to the relevant data. In doing this, the Data Services for Commissioners programme allows commissioners access to the appropriate information without compromising patient confidentiality or statutory legal requirements surrounding the use of this data.</w:t>
            </w:r>
          </w:p>
          <w:p w:rsidR="00C1022D" w:rsidRPr="00527E0C" w:rsidRDefault="00C1022D" w:rsidP="008048CA">
            <w:pPr>
              <w:pStyle w:val="Default"/>
            </w:pPr>
          </w:p>
          <w:p w:rsidR="007A5FD4" w:rsidRPr="00527E0C" w:rsidRDefault="007A5FD4" w:rsidP="008048CA">
            <w:pPr>
              <w:pStyle w:val="Default"/>
            </w:pPr>
            <w:r w:rsidRPr="00527E0C">
              <w:t>HSCIC</w:t>
            </w:r>
            <w:r w:rsidR="007322C2" w:rsidRPr="00527E0C">
              <w:t xml:space="preserve"> (prior to NHS Digital)</w:t>
            </w:r>
            <w:r w:rsidRPr="00527E0C">
              <w:t xml:space="preserve"> produced a Code of Practice:  ‘A Guide to Confidentiality in Health and Social Care’ in September 2013:</w:t>
            </w:r>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ListParagraph"/>
              <w:numPr>
                <w:ilvl w:val="0"/>
                <w:numId w:val="5"/>
              </w:numPr>
              <w:rPr>
                <w:rFonts w:cs="Arial"/>
                <w:sz w:val="24"/>
                <w:szCs w:val="24"/>
              </w:rPr>
            </w:pPr>
            <w:r w:rsidRPr="00527E0C">
              <w:rPr>
                <w:rFonts w:cs="Arial"/>
                <w:sz w:val="24"/>
                <w:szCs w:val="24"/>
              </w:rPr>
              <w:t>Confidential information about service users or patients should be treated confidentially and respectfully.</w:t>
            </w:r>
          </w:p>
          <w:p w:rsidR="007A5FD4" w:rsidRPr="00527E0C" w:rsidRDefault="007A5FD4" w:rsidP="008048CA">
            <w:pPr>
              <w:numPr>
                <w:ilvl w:val="0"/>
                <w:numId w:val="5"/>
              </w:numPr>
              <w:rPr>
                <w:lang w:eastAsia="en-GB"/>
              </w:rPr>
            </w:pPr>
            <w:r w:rsidRPr="00527E0C">
              <w:rPr>
                <w:lang w:eastAsia="en-GB"/>
              </w:rPr>
              <w:t>Members of a care team should share confidential information when it is needed for the safe and effective care of individuals.</w:t>
            </w:r>
          </w:p>
          <w:p w:rsidR="007A5FD4" w:rsidRPr="00527E0C" w:rsidRDefault="007A5FD4" w:rsidP="008048CA">
            <w:pPr>
              <w:numPr>
                <w:ilvl w:val="0"/>
                <w:numId w:val="5"/>
              </w:numPr>
              <w:rPr>
                <w:lang w:eastAsia="en-GB"/>
              </w:rPr>
            </w:pPr>
            <w:r w:rsidRPr="00527E0C">
              <w:rPr>
                <w:lang w:eastAsia="en-GB"/>
              </w:rPr>
              <w:t>Information that is shared for the benefit of the community should be anonymised.</w:t>
            </w:r>
          </w:p>
          <w:p w:rsidR="007A5FD4" w:rsidRPr="00527E0C" w:rsidRDefault="007A5FD4" w:rsidP="008048CA">
            <w:pPr>
              <w:numPr>
                <w:ilvl w:val="0"/>
                <w:numId w:val="5"/>
              </w:numPr>
              <w:rPr>
                <w:lang w:eastAsia="en-GB"/>
              </w:rPr>
            </w:pPr>
            <w:r w:rsidRPr="00527E0C">
              <w:rPr>
                <w:lang w:eastAsia="en-GB"/>
              </w:rPr>
              <w:t>An individual’s right to object to the sharing of confidential information about them should be respected.</w:t>
            </w:r>
          </w:p>
          <w:p w:rsidR="007A5FD4" w:rsidRPr="00527E0C" w:rsidRDefault="007A5FD4" w:rsidP="008048CA">
            <w:pPr>
              <w:numPr>
                <w:ilvl w:val="0"/>
                <w:numId w:val="5"/>
              </w:numPr>
            </w:pPr>
            <w:r w:rsidRPr="00527E0C">
              <w:rPr>
                <w:lang w:eastAsia="en-GB"/>
              </w:rPr>
              <w:t>Organisations should put policies, procedures and systems in place to ensure the confidentiality rules are followed.</w:t>
            </w:r>
          </w:p>
        </w:tc>
      </w:tr>
      <w:tr w:rsidR="00530835" w:rsidRPr="00527E0C" w:rsidTr="00837CC1">
        <w:tc>
          <w:tcPr>
            <w:tcW w:w="808" w:type="dxa"/>
          </w:tcPr>
          <w:p w:rsidR="00530835" w:rsidRPr="00527E0C" w:rsidRDefault="00530835" w:rsidP="00D6569F">
            <w:pPr>
              <w:rPr>
                <w:b/>
              </w:rPr>
            </w:pPr>
          </w:p>
        </w:tc>
        <w:tc>
          <w:tcPr>
            <w:tcW w:w="8543" w:type="dxa"/>
          </w:tcPr>
          <w:p w:rsidR="00530835" w:rsidRPr="00527E0C" w:rsidRDefault="00530835" w:rsidP="00D6569F">
            <w:pPr>
              <w:pStyle w:val="Default"/>
              <w:rPr>
                <w:b/>
              </w:rPr>
            </w:pPr>
          </w:p>
        </w:tc>
      </w:tr>
      <w:tr w:rsidR="00530835" w:rsidRPr="00527E0C" w:rsidTr="00837CC1">
        <w:tc>
          <w:tcPr>
            <w:tcW w:w="9351" w:type="dxa"/>
            <w:gridSpan w:val="2"/>
          </w:tcPr>
          <w:p w:rsidR="00530835" w:rsidRPr="00527E0C" w:rsidRDefault="00530835" w:rsidP="00B63368">
            <w:pPr>
              <w:pStyle w:val="Heading3"/>
            </w:pPr>
            <w:r w:rsidRPr="00527E0C">
              <w:tab/>
            </w:r>
            <w:bookmarkStart w:id="31" w:name="_Toc496602629"/>
            <w:r w:rsidR="00B63368" w:rsidRPr="00527E0C">
              <w:t>7.7</w:t>
            </w:r>
            <w:r w:rsidRPr="00527E0C">
              <w:t xml:space="preserve"> Information Governance Alliance (IGA)</w:t>
            </w:r>
            <w:bookmarkEnd w:id="31"/>
          </w:p>
        </w:tc>
      </w:tr>
      <w:tr w:rsidR="00530835" w:rsidRPr="00527E0C" w:rsidTr="00837CC1">
        <w:tc>
          <w:tcPr>
            <w:tcW w:w="808" w:type="dxa"/>
          </w:tcPr>
          <w:p w:rsidR="00530835" w:rsidRPr="00527E0C" w:rsidRDefault="00530835" w:rsidP="00D6569F">
            <w:pPr>
              <w:rPr>
                <w:b/>
              </w:rPr>
            </w:pPr>
          </w:p>
        </w:tc>
        <w:tc>
          <w:tcPr>
            <w:tcW w:w="8543" w:type="dxa"/>
          </w:tcPr>
          <w:p w:rsidR="00530835" w:rsidRPr="00527E0C" w:rsidRDefault="00530835" w:rsidP="00D6569F">
            <w:pPr>
              <w:rPr>
                <w:b/>
                <w:lang w:eastAsia="en-GB"/>
              </w:rPr>
            </w:pPr>
          </w:p>
        </w:tc>
      </w:tr>
      <w:tr w:rsidR="00530835" w:rsidRPr="00527E0C" w:rsidTr="00837CC1">
        <w:tc>
          <w:tcPr>
            <w:tcW w:w="808" w:type="dxa"/>
          </w:tcPr>
          <w:p w:rsidR="00530835" w:rsidRPr="00527E0C" w:rsidRDefault="00530835" w:rsidP="008048CA">
            <w:pPr>
              <w:rPr>
                <w:b/>
              </w:rPr>
            </w:pPr>
          </w:p>
        </w:tc>
        <w:tc>
          <w:tcPr>
            <w:tcW w:w="8543" w:type="dxa"/>
          </w:tcPr>
          <w:p w:rsidR="00530835" w:rsidRPr="00527E0C" w:rsidRDefault="00530835" w:rsidP="00530835">
            <w:pPr>
              <w:pStyle w:val="Default"/>
            </w:pPr>
            <w:r w:rsidRPr="00527E0C">
              <w:t xml:space="preserve">The Department of Health, NHS England and NHS Digital have a statutory responsibility for producing advice and guidance relating to information governance in health and care. The IGA was </w:t>
            </w:r>
            <w:r w:rsidR="00591989" w:rsidRPr="00527E0C">
              <w:t>formed</w:t>
            </w:r>
            <w:r w:rsidRPr="00527E0C">
              <w:t xml:space="preserve"> to be the single authoritative source of information and guidance for the health and care sector</w:t>
            </w:r>
            <w:r w:rsidR="00591989" w:rsidRPr="00527E0C">
              <w:t>.</w:t>
            </w:r>
          </w:p>
          <w:p w:rsidR="00591989" w:rsidRPr="00527E0C" w:rsidRDefault="00591989" w:rsidP="00530835">
            <w:pPr>
              <w:pStyle w:val="Default"/>
            </w:pPr>
          </w:p>
          <w:p w:rsidR="00591989" w:rsidRPr="00527E0C" w:rsidRDefault="00591989" w:rsidP="00591989">
            <w:pPr>
              <w:pStyle w:val="Default"/>
            </w:pPr>
            <w:r w:rsidRPr="00527E0C">
              <w:t>The IGA also seeks to enhance the quality of health and care services, including people's experience of using those services, by improving information governance.</w:t>
            </w:r>
          </w:p>
          <w:p w:rsidR="00591989" w:rsidRPr="00527E0C" w:rsidRDefault="00591989" w:rsidP="00591989">
            <w:pPr>
              <w:pStyle w:val="Default"/>
            </w:pPr>
          </w:p>
          <w:p w:rsidR="00591989" w:rsidRPr="00527E0C" w:rsidRDefault="00591989" w:rsidP="00591989">
            <w:pPr>
              <w:pStyle w:val="Default"/>
            </w:pPr>
            <w:r w:rsidRPr="00527E0C">
              <w:t>The IGA aim to improve information governance in health and care by:</w:t>
            </w:r>
          </w:p>
          <w:p w:rsidR="00591989" w:rsidRPr="00527E0C" w:rsidRDefault="00591989" w:rsidP="00591989">
            <w:pPr>
              <w:pStyle w:val="Default"/>
              <w:numPr>
                <w:ilvl w:val="0"/>
                <w:numId w:val="32"/>
              </w:numPr>
            </w:pPr>
            <w:r w:rsidRPr="00527E0C">
              <w:t>becoming the authoritative source of advice and guidance</w:t>
            </w:r>
          </w:p>
          <w:p w:rsidR="00591989" w:rsidRPr="00527E0C" w:rsidRDefault="00591989" w:rsidP="00591989">
            <w:pPr>
              <w:pStyle w:val="Default"/>
              <w:numPr>
                <w:ilvl w:val="0"/>
                <w:numId w:val="32"/>
              </w:numPr>
            </w:pPr>
            <w:r w:rsidRPr="00527E0C">
              <w:t>providing support to organisations to help them and their staff handle personal information confidently and in the best interests of people who use their services</w:t>
            </w:r>
          </w:p>
          <w:p w:rsidR="00591989" w:rsidRPr="00527E0C" w:rsidRDefault="00591989" w:rsidP="00591989">
            <w:pPr>
              <w:pStyle w:val="Default"/>
              <w:numPr>
                <w:ilvl w:val="0"/>
                <w:numId w:val="32"/>
              </w:numPr>
            </w:pPr>
            <w:r w:rsidRPr="00527E0C">
              <w:t xml:space="preserve">developing the leadership and culture of health and care services to </w:t>
            </w:r>
            <w:r w:rsidRPr="00527E0C">
              <w:lastRenderedPageBreak/>
              <w:t>promote legal and secure information sharing, and</w:t>
            </w:r>
          </w:p>
          <w:p w:rsidR="00591989" w:rsidRPr="00527E0C" w:rsidRDefault="00591989" w:rsidP="00591989">
            <w:pPr>
              <w:pStyle w:val="Default"/>
              <w:numPr>
                <w:ilvl w:val="0"/>
                <w:numId w:val="32"/>
              </w:numPr>
              <w:rPr>
                <w:b/>
              </w:rPr>
            </w:pPr>
            <w:r w:rsidRPr="00527E0C">
              <w:t>developing the capacity and capability of information governance professionals, by providing expert advice and supporting knowledge sharing networks.</w:t>
            </w:r>
          </w:p>
          <w:p w:rsidR="00591989" w:rsidRPr="00527E0C" w:rsidRDefault="00591989" w:rsidP="00530835">
            <w:pPr>
              <w:pStyle w:val="Default"/>
              <w:rPr>
                <w:b/>
              </w:rPr>
            </w:pPr>
          </w:p>
          <w:p w:rsidR="00591989" w:rsidRPr="00527E0C" w:rsidRDefault="00591989" w:rsidP="00530835">
            <w:pPr>
              <w:pStyle w:val="Default"/>
            </w:pPr>
            <w:r w:rsidRPr="00527E0C">
              <w:t xml:space="preserve">The </w:t>
            </w:r>
            <w:hyperlink r:id="rId10" w:history="1">
              <w:r w:rsidRPr="00527E0C">
                <w:rPr>
                  <w:rStyle w:val="Hyperlink"/>
                </w:rPr>
                <w:t>IGA</w:t>
              </w:r>
            </w:hyperlink>
            <w:r w:rsidRPr="00527E0C">
              <w:t xml:space="preserve"> has produced a number of newsletters, guidance and responses to questions, which organisations should have due regard to.</w:t>
            </w:r>
          </w:p>
        </w:tc>
      </w:tr>
      <w:tr w:rsidR="003A49F4" w:rsidRPr="00527E0C" w:rsidTr="00837CC1">
        <w:tc>
          <w:tcPr>
            <w:tcW w:w="808" w:type="dxa"/>
          </w:tcPr>
          <w:p w:rsidR="003A49F4" w:rsidRPr="00527E0C" w:rsidRDefault="003A49F4" w:rsidP="008048CA">
            <w:pPr>
              <w:rPr>
                <w:b/>
              </w:rPr>
            </w:pPr>
          </w:p>
        </w:tc>
        <w:tc>
          <w:tcPr>
            <w:tcW w:w="8543" w:type="dxa"/>
          </w:tcPr>
          <w:p w:rsidR="003A49F4" w:rsidRPr="00527E0C" w:rsidRDefault="003A49F4" w:rsidP="008048CA">
            <w:pPr>
              <w:pStyle w:val="Default"/>
              <w:rPr>
                <w:b/>
              </w:rPr>
            </w:pPr>
          </w:p>
        </w:tc>
      </w:tr>
      <w:tr w:rsidR="007A5FD4" w:rsidRPr="00527E0C" w:rsidTr="00837CC1">
        <w:tc>
          <w:tcPr>
            <w:tcW w:w="9351" w:type="dxa"/>
            <w:gridSpan w:val="2"/>
          </w:tcPr>
          <w:p w:rsidR="007A5FD4" w:rsidRPr="00527E0C" w:rsidRDefault="007A5FD4" w:rsidP="00B63368">
            <w:pPr>
              <w:pStyle w:val="Heading3"/>
            </w:pPr>
            <w:r w:rsidRPr="00527E0C">
              <w:tab/>
            </w:r>
            <w:bookmarkStart w:id="32" w:name="_Toc496602630"/>
            <w:r w:rsidR="00B63368" w:rsidRPr="00527E0C">
              <w:t>7.8</w:t>
            </w:r>
            <w:r w:rsidRPr="00527E0C">
              <w:t xml:space="preserve"> The NHS and Social Care Record Guarantees for England</w:t>
            </w:r>
            <w:bookmarkEnd w:id="32"/>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rPr>
                <w:b/>
                <w:lang w:eastAsia="en-GB"/>
              </w:rPr>
            </w:pPr>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Default"/>
            </w:pPr>
            <w:r w:rsidRPr="00527E0C">
              <w:t>The NHS and Social Care Record Guarantees for England sets out the rules that govern how individual care information is used in the NHS and in Social Care. It also sets out what control the</w:t>
            </w:r>
            <w:r w:rsidR="007A56BD" w:rsidRPr="00527E0C">
              <w:t xml:space="preserve"> individual can have over this.</w:t>
            </w:r>
          </w:p>
          <w:p w:rsidR="007A56BD" w:rsidRPr="00527E0C" w:rsidRDefault="007A56BD" w:rsidP="008048CA">
            <w:pPr>
              <w:pStyle w:val="Default"/>
            </w:pPr>
          </w:p>
          <w:p w:rsidR="007A5FD4" w:rsidRPr="00527E0C" w:rsidRDefault="007A5FD4" w:rsidP="008048CA">
            <w:pPr>
              <w:rPr>
                <w:b/>
                <w:lang w:eastAsia="en-GB"/>
              </w:rPr>
            </w:pPr>
            <w:r w:rsidRPr="00527E0C">
              <w:t>Individuals’ rights regarding the sharing of their personal information are supported by the Care Record Guarantees, which set out high-level commitments for protecting and safeguarding service user information, particularly with regard to: individuals' rights of access to their own information, how information will be shared (both within and outside of the organisation) and how decisions on sharing information will be made.</w:t>
            </w:r>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Default"/>
            </w:pPr>
          </w:p>
        </w:tc>
      </w:tr>
      <w:tr w:rsidR="007A5FD4" w:rsidRPr="00527E0C" w:rsidTr="00837CC1">
        <w:tc>
          <w:tcPr>
            <w:tcW w:w="9351" w:type="dxa"/>
            <w:gridSpan w:val="2"/>
          </w:tcPr>
          <w:p w:rsidR="007A5FD4" w:rsidRPr="00527E0C" w:rsidRDefault="007A5FD4" w:rsidP="00B63368">
            <w:pPr>
              <w:pStyle w:val="Heading3"/>
            </w:pPr>
            <w:r w:rsidRPr="00527E0C">
              <w:tab/>
            </w:r>
            <w:bookmarkStart w:id="33" w:name="_Toc496602631"/>
            <w:r w:rsidR="00B63368" w:rsidRPr="00527E0C">
              <w:t>7.9</w:t>
            </w:r>
            <w:r w:rsidRPr="00527E0C">
              <w:t xml:space="preserve"> NHS Act 2006</w:t>
            </w:r>
            <w:bookmarkEnd w:id="33"/>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Default"/>
              <w:rPr>
                <w:b/>
              </w:rPr>
            </w:pPr>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Default"/>
            </w:pPr>
            <w:r w:rsidRPr="00527E0C">
              <w:t xml:space="preserve">Section 251 of the NHS Act 2006 allows the Common Law Duty of Confidentiality to be set aside by the Secretary of State for Health in specific circumstances where anonymised information is not sufficient and where patient consent is not practicable. </w:t>
            </w:r>
          </w:p>
          <w:p w:rsidR="007A5FD4" w:rsidRPr="00527E0C" w:rsidRDefault="007A5FD4" w:rsidP="008048CA">
            <w:pPr>
              <w:pStyle w:val="Default"/>
            </w:pPr>
            <w:r w:rsidRPr="00527E0C">
              <w:t xml:space="preserve"> </w:t>
            </w:r>
          </w:p>
        </w:tc>
      </w:tr>
      <w:tr w:rsidR="003A49F4" w:rsidRPr="00527E0C" w:rsidTr="00837CC1">
        <w:tc>
          <w:tcPr>
            <w:tcW w:w="808" w:type="dxa"/>
          </w:tcPr>
          <w:p w:rsidR="003A49F4" w:rsidRPr="00527E0C" w:rsidRDefault="003A49F4" w:rsidP="008048CA">
            <w:pPr>
              <w:rPr>
                <w:b/>
              </w:rPr>
            </w:pPr>
          </w:p>
        </w:tc>
        <w:tc>
          <w:tcPr>
            <w:tcW w:w="8543" w:type="dxa"/>
          </w:tcPr>
          <w:p w:rsidR="003A49F4" w:rsidRPr="00527E0C" w:rsidRDefault="003A49F4" w:rsidP="008048CA">
            <w:pPr>
              <w:pStyle w:val="Default"/>
              <w:rPr>
                <w:b/>
              </w:rPr>
            </w:pPr>
          </w:p>
        </w:tc>
      </w:tr>
      <w:tr w:rsidR="007A5FD4" w:rsidRPr="00527E0C" w:rsidTr="00837CC1">
        <w:tc>
          <w:tcPr>
            <w:tcW w:w="9351" w:type="dxa"/>
            <w:gridSpan w:val="2"/>
          </w:tcPr>
          <w:p w:rsidR="007A5FD4" w:rsidRPr="00527E0C" w:rsidRDefault="007A5FD4" w:rsidP="00B63368">
            <w:pPr>
              <w:pStyle w:val="Heading3"/>
            </w:pPr>
            <w:r w:rsidRPr="00527E0C">
              <w:tab/>
            </w:r>
            <w:bookmarkStart w:id="34" w:name="_Toc496602632"/>
            <w:r w:rsidR="00B63368" w:rsidRPr="00527E0C">
              <w:t>7.10</w:t>
            </w:r>
            <w:r w:rsidR="00530835" w:rsidRPr="00527E0C">
              <w:t xml:space="preserve"> </w:t>
            </w:r>
            <w:r w:rsidR="007322C2" w:rsidRPr="00527E0C">
              <w:t>Health and Social Care Act 2012</w:t>
            </w:r>
            <w:bookmarkEnd w:id="34"/>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Default"/>
              <w:rPr>
                <w:b/>
              </w:rPr>
            </w:pPr>
          </w:p>
        </w:tc>
      </w:tr>
      <w:tr w:rsidR="007322C2" w:rsidRPr="00527E0C" w:rsidTr="00837CC1">
        <w:tc>
          <w:tcPr>
            <w:tcW w:w="808" w:type="dxa"/>
          </w:tcPr>
          <w:p w:rsidR="007322C2" w:rsidRPr="00527E0C" w:rsidRDefault="007322C2" w:rsidP="00DD5A3B">
            <w:pPr>
              <w:rPr>
                <w:b/>
              </w:rPr>
            </w:pPr>
          </w:p>
        </w:tc>
        <w:tc>
          <w:tcPr>
            <w:tcW w:w="8543" w:type="dxa"/>
          </w:tcPr>
          <w:p w:rsidR="007322C2" w:rsidRPr="00527E0C" w:rsidRDefault="007322C2" w:rsidP="00690E9D">
            <w:pPr>
              <w:pStyle w:val="Default"/>
            </w:pPr>
            <w:r w:rsidRPr="00527E0C">
              <w:t>The Health and Social Care Act 2012 provides NHS Digital with a legal basis to process identifiable data and on behalf of other NHS organisations. The Act proves the authority to operate Data Service for Commissioners (DSfC) and Data Service for Commission</w:t>
            </w:r>
            <w:r w:rsidR="00690E9D" w:rsidRPr="00527E0C">
              <w:t>ers</w:t>
            </w:r>
            <w:r w:rsidRPr="00527E0C">
              <w:t xml:space="preserve"> Regional Offices (DSCROs).</w:t>
            </w:r>
          </w:p>
        </w:tc>
      </w:tr>
      <w:tr w:rsidR="007322C2" w:rsidRPr="00527E0C" w:rsidTr="00837CC1">
        <w:tc>
          <w:tcPr>
            <w:tcW w:w="808" w:type="dxa"/>
          </w:tcPr>
          <w:p w:rsidR="007322C2" w:rsidRPr="00527E0C" w:rsidRDefault="007322C2" w:rsidP="00DD5A3B">
            <w:pPr>
              <w:rPr>
                <w:b/>
              </w:rPr>
            </w:pPr>
          </w:p>
        </w:tc>
        <w:tc>
          <w:tcPr>
            <w:tcW w:w="8543" w:type="dxa"/>
          </w:tcPr>
          <w:p w:rsidR="007322C2" w:rsidRPr="00527E0C" w:rsidRDefault="007322C2" w:rsidP="00DD5A3B">
            <w:pPr>
              <w:pStyle w:val="Default"/>
              <w:rPr>
                <w:b/>
              </w:rPr>
            </w:pPr>
          </w:p>
        </w:tc>
      </w:tr>
      <w:tr w:rsidR="007322C2" w:rsidRPr="00527E0C" w:rsidTr="00837CC1">
        <w:tc>
          <w:tcPr>
            <w:tcW w:w="9351" w:type="dxa"/>
            <w:gridSpan w:val="2"/>
          </w:tcPr>
          <w:p w:rsidR="007322C2" w:rsidRPr="00527E0C" w:rsidRDefault="007322C2" w:rsidP="00B63368">
            <w:pPr>
              <w:pStyle w:val="Heading3"/>
            </w:pPr>
            <w:r w:rsidRPr="00527E0C">
              <w:tab/>
            </w:r>
            <w:bookmarkStart w:id="35" w:name="_Toc496602633"/>
            <w:r w:rsidR="00B63368" w:rsidRPr="00527E0C">
              <w:t>7.11</w:t>
            </w:r>
            <w:r w:rsidR="00530835" w:rsidRPr="00527E0C">
              <w:t xml:space="preserve"> </w:t>
            </w:r>
            <w:r w:rsidRPr="00527E0C">
              <w:t>Health and Social Care (Safety and Quality) Act 2015</w:t>
            </w:r>
            <w:bookmarkEnd w:id="35"/>
          </w:p>
        </w:tc>
      </w:tr>
      <w:tr w:rsidR="007322C2" w:rsidRPr="00527E0C" w:rsidTr="00837CC1">
        <w:tc>
          <w:tcPr>
            <w:tcW w:w="808" w:type="dxa"/>
          </w:tcPr>
          <w:p w:rsidR="007322C2" w:rsidRPr="00527E0C" w:rsidRDefault="007322C2" w:rsidP="00DD5A3B">
            <w:pPr>
              <w:rPr>
                <w:b/>
              </w:rPr>
            </w:pPr>
          </w:p>
        </w:tc>
        <w:tc>
          <w:tcPr>
            <w:tcW w:w="8543" w:type="dxa"/>
          </w:tcPr>
          <w:p w:rsidR="007322C2" w:rsidRPr="00527E0C" w:rsidRDefault="007322C2" w:rsidP="00DD5A3B">
            <w:pPr>
              <w:pStyle w:val="Default"/>
              <w:rPr>
                <w:b/>
              </w:rPr>
            </w:pPr>
          </w:p>
        </w:tc>
      </w:tr>
      <w:tr w:rsidR="007322C2" w:rsidRPr="00527E0C" w:rsidTr="00837CC1">
        <w:tc>
          <w:tcPr>
            <w:tcW w:w="808" w:type="dxa"/>
          </w:tcPr>
          <w:p w:rsidR="007322C2" w:rsidRPr="00527E0C" w:rsidRDefault="007322C2" w:rsidP="00DD5A3B">
            <w:pPr>
              <w:rPr>
                <w:b/>
              </w:rPr>
            </w:pPr>
          </w:p>
        </w:tc>
        <w:tc>
          <w:tcPr>
            <w:tcW w:w="8543" w:type="dxa"/>
          </w:tcPr>
          <w:p w:rsidR="007322C2" w:rsidRPr="00527E0C" w:rsidRDefault="00690E9D" w:rsidP="00B70B97">
            <w:pPr>
              <w:pStyle w:val="Default"/>
            </w:pPr>
            <w:r w:rsidRPr="00527E0C">
              <w:t>The Health and Social Care (Safety and Quality) Act 2015 sets the expectation that information will be shared between health and social care in the interests of individuals. Individuals are able to override such sharing if they have an objection. The Act is seen as key to enabling the Caldicott principle of there being a duty to share</w:t>
            </w:r>
            <w:r w:rsidR="00B70B97" w:rsidRPr="00527E0C">
              <w:t xml:space="preserve"> between those health and social care professionals involved in the direct care of patients if it is</w:t>
            </w:r>
            <w:r w:rsidRPr="00527E0C">
              <w:t xml:space="preserve"> i</w:t>
            </w:r>
            <w:r w:rsidR="00B70B97" w:rsidRPr="00527E0C">
              <w:t>n the best interests of those individuals</w:t>
            </w:r>
            <w:r w:rsidRPr="00527E0C">
              <w:t>.</w:t>
            </w:r>
          </w:p>
        </w:tc>
      </w:tr>
      <w:tr w:rsidR="007322C2" w:rsidRPr="00527E0C" w:rsidTr="00837CC1">
        <w:tc>
          <w:tcPr>
            <w:tcW w:w="808" w:type="dxa"/>
          </w:tcPr>
          <w:p w:rsidR="007322C2" w:rsidRPr="00527E0C" w:rsidRDefault="007322C2" w:rsidP="00DD5A3B">
            <w:pPr>
              <w:rPr>
                <w:b/>
              </w:rPr>
            </w:pPr>
          </w:p>
        </w:tc>
        <w:tc>
          <w:tcPr>
            <w:tcW w:w="8543" w:type="dxa"/>
          </w:tcPr>
          <w:p w:rsidR="007322C2" w:rsidRPr="00527E0C" w:rsidRDefault="007322C2" w:rsidP="00DD5A3B">
            <w:pPr>
              <w:pStyle w:val="Default"/>
              <w:rPr>
                <w:b/>
              </w:rPr>
            </w:pPr>
          </w:p>
        </w:tc>
      </w:tr>
      <w:tr w:rsidR="007322C2" w:rsidRPr="00527E0C" w:rsidTr="00837CC1">
        <w:tc>
          <w:tcPr>
            <w:tcW w:w="9351" w:type="dxa"/>
            <w:gridSpan w:val="2"/>
          </w:tcPr>
          <w:p w:rsidR="007322C2" w:rsidRPr="00527E0C" w:rsidRDefault="007322C2" w:rsidP="00B63368">
            <w:pPr>
              <w:pStyle w:val="Heading3"/>
            </w:pPr>
            <w:r w:rsidRPr="00527E0C">
              <w:tab/>
            </w:r>
            <w:bookmarkStart w:id="36" w:name="_Toc496602634"/>
            <w:r w:rsidR="00B63368" w:rsidRPr="00527E0C">
              <w:t>7.12</w:t>
            </w:r>
            <w:r w:rsidR="00530835" w:rsidRPr="00527E0C">
              <w:t xml:space="preserve"> </w:t>
            </w:r>
            <w:r w:rsidRPr="00527E0C">
              <w:t>Computer Misuse Act 1990</w:t>
            </w:r>
            <w:bookmarkEnd w:id="36"/>
          </w:p>
        </w:tc>
      </w:tr>
      <w:tr w:rsidR="007322C2" w:rsidRPr="00527E0C" w:rsidTr="00837CC1">
        <w:tc>
          <w:tcPr>
            <w:tcW w:w="808" w:type="dxa"/>
          </w:tcPr>
          <w:p w:rsidR="007322C2" w:rsidRPr="00527E0C" w:rsidRDefault="007322C2" w:rsidP="00DD5A3B">
            <w:pPr>
              <w:rPr>
                <w:b/>
              </w:rPr>
            </w:pPr>
          </w:p>
        </w:tc>
        <w:tc>
          <w:tcPr>
            <w:tcW w:w="8543" w:type="dxa"/>
          </w:tcPr>
          <w:p w:rsidR="007322C2" w:rsidRPr="00527E0C" w:rsidRDefault="007322C2" w:rsidP="00DD5A3B">
            <w:pPr>
              <w:pStyle w:val="Default"/>
              <w:rPr>
                <w:b/>
              </w:rPr>
            </w:pPr>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ind w:right="15"/>
              <w:rPr>
                <w:b/>
              </w:rPr>
            </w:pPr>
            <w:r w:rsidRPr="00527E0C">
              <w:t>This Act</w:t>
            </w:r>
            <w:r w:rsidRPr="00527E0C">
              <w:rPr>
                <w:b/>
              </w:rPr>
              <w:t xml:space="preserve"> </w:t>
            </w:r>
            <w:r w:rsidRPr="00527E0C">
              <w:t>makes it illegal to access data or computer programs without authorisation and establishes three offences:</w:t>
            </w:r>
            <w:r w:rsidRPr="00527E0C">
              <w:rPr>
                <w:b/>
              </w:rPr>
              <w:t xml:space="preserve"> </w:t>
            </w:r>
          </w:p>
          <w:p w:rsidR="007A5FD4" w:rsidRPr="00527E0C" w:rsidRDefault="007A5FD4" w:rsidP="008048CA">
            <w:pPr>
              <w:ind w:right="15"/>
            </w:pPr>
          </w:p>
          <w:p w:rsidR="007A5FD4" w:rsidRPr="00527E0C" w:rsidRDefault="007A5FD4" w:rsidP="008048CA">
            <w:pPr>
              <w:pStyle w:val="ListParagraph"/>
              <w:numPr>
                <w:ilvl w:val="0"/>
                <w:numId w:val="30"/>
              </w:numPr>
              <w:ind w:right="15"/>
              <w:rPr>
                <w:rFonts w:cs="Arial"/>
                <w:sz w:val="24"/>
                <w:szCs w:val="24"/>
              </w:rPr>
            </w:pPr>
            <w:r w:rsidRPr="00527E0C">
              <w:rPr>
                <w:rFonts w:cs="Arial"/>
                <w:sz w:val="24"/>
                <w:szCs w:val="24"/>
              </w:rPr>
              <w:t xml:space="preserve">Access data or programs held on computer without authorisation. For </w:t>
            </w:r>
            <w:r w:rsidRPr="00527E0C">
              <w:rPr>
                <w:rFonts w:cs="Arial"/>
                <w:sz w:val="24"/>
                <w:szCs w:val="24"/>
              </w:rPr>
              <w:lastRenderedPageBreak/>
              <w:t xml:space="preserve">example, to view test results on a patient whose care you are not directly involved in or to obtain or view information about friends and relatives. </w:t>
            </w:r>
          </w:p>
          <w:p w:rsidR="007A5FD4" w:rsidRPr="00527E0C" w:rsidRDefault="007A5FD4" w:rsidP="008048CA">
            <w:pPr>
              <w:pStyle w:val="ListParagraph"/>
              <w:numPr>
                <w:ilvl w:val="0"/>
                <w:numId w:val="30"/>
              </w:numPr>
              <w:ind w:right="15"/>
              <w:rPr>
                <w:rFonts w:cs="Arial"/>
                <w:sz w:val="24"/>
                <w:szCs w:val="24"/>
              </w:rPr>
            </w:pPr>
            <w:r w:rsidRPr="00527E0C">
              <w:rPr>
                <w:rFonts w:cs="Arial"/>
                <w:sz w:val="24"/>
                <w:szCs w:val="24"/>
              </w:rPr>
              <w:t xml:space="preserve">Access data or programs held in a computer without authorisation with the intention of committing further offences, for example fraud or blackmail.  </w:t>
            </w:r>
          </w:p>
          <w:p w:rsidR="007A5FD4" w:rsidRPr="00527E0C" w:rsidRDefault="007A5FD4" w:rsidP="008048CA">
            <w:pPr>
              <w:pStyle w:val="ListParagraph"/>
              <w:numPr>
                <w:ilvl w:val="0"/>
                <w:numId w:val="30"/>
              </w:numPr>
              <w:ind w:right="15"/>
              <w:rPr>
                <w:rFonts w:cs="Arial"/>
                <w:sz w:val="24"/>
                <w:szCs w:val="24"/>
              </w:rPr>
            </w:pPr>
            <w:r w:rsidRPr="00527E0C">
              <w:rPr>
                <w:rFonts w:cs="Arial"/>
                <w:sz w:val="24"/>
                <w:szCs w:val="24"/>
              </w:rPr>
              <w:t xml:space="preserve">Modify data or programs held on computer without authorisation. </w:t>
            </w:r>
          </w:p>
        </w:tc>
      </w:tr>
      <w:tr w:rsidR="003A49F4" w:rsidRPr="00527E0C" w:rsidTr="00837CC1">
        <w:tc>
          <w:tcPr>
            <w:tcW w:w="808" w:type="dxa"/>
          </w:tcPr>
          <w:p w:rsidR="003A49F4" w:rsidRPr="00527E0C" w:rsidRDefault="003A49F4" w:rsidP="008048CA">
            <w:pPr>
              <w:rPr>
                <w:b/>
              </w:rPr>
            </w:pPr>
          </w:p>
        </w:tc>
        <w:tc>
          <w:tcPr>
            <w:tcW w:w="8543" w:type="dxa"/>
          </w:tcPr>
          <w:p w:rsidR="003A49F4" w:rsidRPr="00527E0C" w:rsidRDefault="003A49F4" w:rsidP="008048CA">
            <w:pPr>
              <w:pStyle w:val="Default"/>
              <w:rPr>
                <w:b/>
              </w:rPr>
            </w:pPr>
          </w:p>
        </w:tc>
      </w:tr>
      <w:tr w:rsidR="007A5FD4" w:rsidRPr="00527E0C" w:rsidTr="00837CC1">
        <w:tc>
          <w:tcPr>
            <w:tcW w:w="9351" w:type="dxa"/>
            <w:gridSpan w:val="2"/>
          </w:tcPr>
          <w:p w:rsidR="007A5FD4" w:rsidRPr="00527E0C" w:rsidRDefault="007A5FD4" w:rsidP="00B63368">
            <w:pPr>
              <w:pStyle w:val="Heading3"/>
            </w:pPr>
            <w:r w:rsidRPr="00527E0C">
              <w:tab/>
            </w:r>
            <w:bookmarkStart w:id="37" w:name="_Toc496602635"/>
            <w:r w:rsidR="00B63368" w:rsidRPr="00527E0C">
              <w:t>7.13</w:t>
            </w:r>
            <w:r w:rsidR="00530835" w:rsidRPr="00527E0C">
              <w:t xml:space="preserve"> </w:t>
            </w:r>
            <w:r w:rsidRPr="00527E0C">
              <w:t>Other legislation and guidance</w:t>
            </w:r>
            <w:bookmarkEnd w:id="37"/>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ind w:right="15"/>
              <w:rPr>
                <w:b/>
              </w:rPr>
            </w:pPr>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Default"/>
              <w:rPr>
                <w:b/>
              </w:rPr>
            </w:pPr>
            <w:r w:rsidRPr="00527E0C">
              <w:t>In addition to the main legal obligations and guidance there are a wide range of Acts and Reg</w:t>
            </w:r>
            <w:r w:rsidR="00AC550E">
              <w:t>ulations which are relevant to D</w:t>
            </w:r>
            <w:r w:rsidRPr="00527E0C">
              <w:t xml:space="preserve">ata Protection and confidentiality which may have an effect on disclosure and use of information (see list below). This is not an exhaustive list. Where you need any further guidance regarding any of the legislation or guidance listed - you can contact the organisation’s Caldicott Guardianor the Information Governance </w:t>
            </w:r>
            <w:r w:rsidR="00BF1A47" w:rsidRPr="00527E0C">
              <w:t>lead</w:t>
            </w:r>
            <w:r w:rsidRPr="00527E0C">
              <w:t xml:space="preserve"> (see section 11 Advice and Guidance).</w:t>
            </w:r>
          </w:p>
          <w:p w:rsidR="007A5FD4" w:rsidRPr="00527E0C" w:rsidRDefault="007A5FD4" w:rsidP="008048CA">
            <w:pPr>
              <w:ind w:left="-150"/>
            </w:pPr>
          </w:p>
          <w:p w:rsidR="00B72F85" w:rsidRPr="00527E0C" w:rsidRDefault="00B72F85" w:rsidP="008048CA">
            <w:pPr>
              <w:pStyle w:val="Thirdsubbody"/>
              <w:numPr>
                <w:ilvl w:val="0"/>
                <w:numId w:val="16"/>
              </w:numPr>
              <w:spacing w:before="0"/>
              <w:rPr>
                <w:rFonts w:cs="Arial"/>
                <w:sz w:val="24"/>
                <w:szCs w:val="24"/>
              </w:rPr>
            </w:pPr>
            <w:r w:rsidRPr="00527E0C">
              <w:rPr>
                <w:rFonts w:cs="Arial"/>
                <w:sz w:val="24"/>
                <w:szCs w:val="24"/>
              </w:rPr>
              <w:t>Abortion Regulations 1991</w:t>
            </w:r>
          </w:p>
          <w:p w:rsidR="00B72F85" w:rsidRPr="00527E0C" w:rsidRDefault="00B72F85" w:rsidP="008048CA">
            <w:pPr>
              <w:pStyle w:val="ListParagraph"/>
              <w:numPr>
                <w:ilvl w:val="0"/>
                <w:numId w:val="16"/>
              </w:numPr>
              <w:rPr>
                <w:rFonts w:cs="Arial"/>
                <w:sz w:val="24"/>
                <w:szCs w:val="24"/>
              </w:rPr>
            </w:pPr>
            <w:r w:rsidRPr="00527E0C">
              <w:rPr>
                <w:rFonts w:cs="Arial"/>
                <w:sz w:val="24"/>
                <w:szCs w:val="24"/>
              </w:rPr>
              <w:t>Access to Health Records Act 1990 (where not superseded by the Data Protection Act 1998)</w:t>
            </w:r>
          </w:p>
          <w:p w:rsidR="00B72F85" w:rsidRPr="00527E0C" w:rsidRDefault="00B72F85" w:rsidP="008048CA">
            <w:pPr>
              <w:pStyle w:val="ListParagraph"/>
              <w:numPr>
                <w:ilvl w:val="0"/>
                <w:numId w:val="16"/>
              </w:numPr>
              <w:rPr>
                <w:rFonts w:cs="Arial"/>
                <w:sz w:val="24"/>
                <w:szCs w:val="24"/>
              </w:rPr>
            </w:pPr>
            <w:r w:rsidRPr="00527E0C">
              <w:rPr>
                <w:rFonts w:cs="Arial"/>
                <w:sz w:val="24"/>
                <w:szCs w:val="24"/>
              </w:rPr>
              <w:t>Access to Medical Records Act 1988</w:t>
            </w:r>
          </w:p>
          <w:p w:rsidR="00B72F85" w:rsidRPr="00527E0C" w:rsidRDefault="00B72F85" w:rsidP="008048CA">
            <w:pPr>
              <w:pStyle w:val="Thirdsubbody"/>
              <w:numPr>
                <w:ilvl w:val="0"/>
                <w:numId w:val="16"/>
              </w:numPr>
              <w:spacing w:before="0"/>
              <w:rPr>
                <w:rFonts w:cs="Arial"/>
                <w:sz w:val="24"/>
                <w:szCs w:val="24"/>
              </w:rPr>
            </w:pPr>
            <w:r w:rsidRPr="00527E0C">
              <w:rPr>
                <w:rFonts w:cs="Arial"/>
                <w:sz w:val="24"/>
                <w:szCs w:val="24"/>
              </w:rPr>
              <w:t>Audit &amp; Internal Control Act 1987</w:t>
            </w:r>
          </w:p>
          <w:p w:rsidR="00B72F85" w:rsidRPr="00527E0C" w:rsidRDefault="00B72F85" w:rsidP="008048CA">
            <w:pPr>
              <w:pStyle w:val="Thirdsubbody"/>
              <w:numPr>
                <w:ilvl w:val="0"/>
                <w:numId w:val="16"/>
              </w:numPr>
              <w:spacing w:before="0"/>
              <w:rPr>
                <w:rFonts w:cs="Arial"/>
                <w:sz w:val="24"/>
                <w:szCs w:val="24"/>
              </w:rPr>
            </w:pPr>
            <w:r w:rsidRPr="00527E0C">
              <w:rPr>
                <w:rFonts w:cs="Arial"/>
                <w:sz w:val="24"/>
                <w:szCs w:val="24"/>
              </w:rPr>
              <w:t>Copyright, Designs and Patents Act 1988 (as amended by the Copyright (Computer Programs) Regulations 1992</w:t>
            </w:r>
          </w:p>
          <w:p w:rsidR="00B72F85" w:rsidRPr="00527E0C" w:rsidRDefault="00B72F85" w:rsidP="008048CA">
            <w:pPr>
              <w:pStyle w:val="Thirdsubbody"/>
              <w:numPr>
                <w:ilvl w:val="0"/>
                <w:numId w:val="16"/>
              </w:numPr>
              <w:spacing w:before="0"/>
              <w:rPr>
                <w:rFonts w:cs="Arial"/>
                <w:bCs/>
                <w:sz w:val="24"/>
                <w:szCs w:val="24"/>
              </w:rPr>
            </w:pPr>
            <w:r w:rsidRPr="00527E0C">
              <w:rPr>
                <w:rFonts w:cs="Arial"/>
                <w:sz w:val="24"/>
                <w:szCs w:val="24"/>
              </w:rPr>
              <w:t>Coroners and Justice Act 2009</w:t>
            </w:r>
          </w:p>
          <w:p w:rsidR="00B72F85" w:rsidRPr="00527E0C" w:rsidRDefault="00B72F85" w:rsidP="008048CA">
            <w:pPr>
              <w:pStyle w:val="Thirdsubbody"/>
              <w:numPr>
                <w:ilvl w:val="0"/>
                <w:numId w:val="16"/>
              </w:numPr>
              <w:spacing w:before="0"/>
              <w:rPr>
                <w:rFonts w:cs="Arial"/>
                <w:sz w:val="24"/>
                <w:szCs w:val="24"/>
              </w:rPr>
            </w:pPr>
            <w:r w:rsidRPr="00527E0C">
              <w:rPr>
                <w:rFonts w:cs="Arial"/>
                <w:sz w:val="24"/>
                <w:szCs w:val="24"/>
              </w:rPr>
              <w:t>Crime and Disorder Act 1998</w:t>
            </w:r>
          </w:p>
          <w:p w:rsidR="00B72F85" w:rsidRPr="00527E0C" w:rsidDel="00B72F85" w:rsidRDefault="00B72F85" w:rsidP="008048CA">
            <w:pPr>
              <w:pStyle w:val="ListParagraph"/>
              <w:numPr>
                <w:ilvl w:val="0"/>
                <w:numId w:val="16"/>
              </w:numPr>
              <w:rPr>
                <w:rFonts w:cs="Arial"/>
                <w:sz w:val="24"/>
                <w:szCs w:val="24"/>
              </w:rPr>
            </w:pPr>
            <w:r w:rsidRPr="00527E0C">
              <w:rPr>
                <w:rFonts w:cs="Arial"/>
                <w:sz w:val="24"/>
                <w:szCs w:val="24"/>
              </w:rPr>
              <w:t>Data Retention and Investigatory Powers Act 2014</w:t>
            </w:r>
          </w:p>
          <w:p w:rsidR="00B72F85" w:rsidRPr="00527E0C" w:rsidRDefault="00B72F85" w:rsidP="008048CA">
            <w:pPr>
              <w:pStyle w:val="ListParagraph"/>
              <w:numPr>
                <w:ilvl w:val="0"/>
                <w:numId w:val="16"/>
              </w:numPr>
              <w:rPr>
                <w:rFonts w:cs="Arial"/>
                <w:sz w:val="24"/>
                <w:szCs w:val="24"/>
              </w:rPr>
            </w:pPr>
            <w:r w:rsidRPr="00527E0C">
              <w:rPr>
                <w:rFonts w:cs="Arial"/>
                <w:sz w:val="24"/>
                <w:szCs w:val="24"/>
              </w:rPr>
              <w:t>Digital Economy Act 2017</w:t>
            </w:r>
          </w:p>
          <w:p w:rsidR="00B72F85" w:rsidRPr="00527E0C" w:rsidRDefault="00B72F85" w:rsidP="008048CA">
            <w:pPr>
              <w:pStyle w:val="Thirdsubbody"/>
              <w:numPr>
                <w:ilvl w:val="0"/>
                <w:numId w:val="16"/>
              </w:numPr>
              <w:spacing w:before="0"/>
              <w:rPr>
                <w:rFonts w:cs="Arial"/>
                <w:sz w:val="24"/>
                <w:szCs w:val="24"/>
              </w:rPr>
            </w:pPr>
            <w:r w:rsidRPr="00527E0C">
              <w:rPr>
                <w:rFonts w:cs="Arial"/>
                <w:sz w:val="24"/>
                <w:szCs w:val="24"/>
              </w:rPr>
              <w:t>Communications Act 2003</w:t>
            </w:r>
          </w:p>
          <w:p w:rsidR="00B72F85" w:rsidRPr="00527E0C" w:rsidRDefault="00B72F85" w:rsidP="008048CA">
            <w:pPr>
              <w:pStyle w:val="Thirdsubbody"/>
              <w:numPr>
                <w:ilvl w:val="0"/>
                <w:numId w:val="16"/>
              </w:numPr>
              <w:spacing w:before="0"/>
              <w:rPr>
                <w:rFonts w:cs="Arial"/>
                <w:bCs/>
                <w:sz w:val="24"/>
                <w:szCs w:val="24"/>
              </w:rPr>
            </w:pPr>
            <w:r w:rsidRPr="00527E0C">
              <w:rPr>
                <w:rFonts w:cs="Arial"/>
                <w:sz w:val="24"/>
                <w:szCs w:val="24"/>
              </w:rPr>
              <w:t>Environmental Information Regulations 2004</w:t>
            </w:r>
          </w:p>
          <w:p w:rsidR="00B72F85" w:rsidRPr="00527E0C" w:rsidRDefault="00B72F85" w:rsidP="008048CA">
            <w:pPr>
              <w:pStyle w:val="ListParagraph"/>
              <w:numPr>
                <w:ilvl w:val="0"/>
                <w:numId w:val="16"/>
              </w:numPr>
              <w:rPr>
                <w:rFonts w:cs="Arial"/>
                <w:sz w:val="24"/>
                <w:szCs w:val="24"/>
              </w:rPr>
            </w:pPr>
            <w:r w:rsidRPr="00527E0C">
              <w:rPr>
                <w:rFonts w:cs="Arial"/>
                <w:sz w:val="24"/>
                <w:szCs w:val="24"/>
              </w:rPr>
              <w:t>Equality Act 2010</w:t>
            </w:r>
          </w:p>
          <w:p w:rsidR="00B72F85" w:rsidRPr="00527E0C" w:rsidRDefault="00B72F85" w:rsidP="008048CA">
            <w:pPr>
              <w:pStyle w:val="Thirdsubbody"/>
              <w:numPr>
                <w:ilvl w:val="0"/>
                <w:numId w:val="16"/>
              </w:numPr>
              <w:spacing w:before="0"/>
              <w:rPr>
                <w:rFonts w:cs="Arial"/>
                <w:bCs/>
                <w:sz w:val="24"/>
                <w:szCs w:val="24"/>
              </w:rPr>
            </w:pPr>
            <w:r w:rsidRPr="00527E0C">
              <w:rPr>
                <w:rFonts w:cs="Arial"/>
                <w:sz w:val="24"/>
                <w:szCs w:val="24"/>
              </w:rPr>
              <w:t>Freedom of Information Act 2000</w:t>
            </w:r>
          </w:p>
          <w:p w:rsidR="00B72F85" w:rsidRPr="00527E0C" w:rsidDel="00A43318" w:rsidRDefault="00B72F85" w:rsidP="00B72F85">
            <w:pPr>
              <w:pStyle w:val="Thirdsubbody"/>
              <w:spacing w:before="0"/>
              <w:ind w:left="360"/>
              <w:rPr>
                <w:rFonts w:cs="Arial"/>
                <w:sz w:val="24"/>
                <w:szCs w:val="24"/>
              </w:rPr>
            </w:pPr>
            <w:r w:rsidRPr="00527E0C" w:rsidDel="00A43318">
              <w:rPr>
                <w:rFonts w:cs="Arial"/>
                <w:sz w:val="24"/>
                <w:szCs w:val="24"/>
              </w:rPr>
              <w:t>Health and Social Care Act 2012</w:t>
            </w:r>
          </w:p>
          <w:p w:rsidR="00B72F85" w:rsidRPr="00527E0C" w:rsidRDefault="00B72F85" w:rsidP="008048CA">
            <w:pPr>
              <w:pStyle w:val="Thirdsubbody"/>
              <w:numPr>
                <w:ilvl w:val="0"/>
                <w:numId w:val="16"/>
              </w:numPr>
              <w:spacing w:before="0"/>
              <w:rPr>
                <w:rFonts w:cs="Arial"/>
                <w:sz w:val="24"/>
                <w:szCs w:val="24"/>
              </w:rPr>
            </w:pPr>
            <w:r w:rsidRPr="00527E0C">
              <w:rPr>
                <w:rFonts w:cs="Arial"/>
                <w:sz w:val="24"/>
                <w:szCs w:val="24"/>
              </w:rPr>
              <w:t>Human Fertilisation and Embryology Act 1990</w:t>
            </w:r>
          </w:p>
          <w:p w:rsidR="00B72F85" w:rsidRPr="00527E0C" w:rsidRDefault="00B72F85" w:rsidP="008048CA">
            <w:pPr>
              <w:pStyle w:val="ListParagraph"/>
              <w:numPr>
                <w:ilvl w:val="0"/>
                <w:numId w:val="16"/>
              </w:numPr>
              <w:rPr>
                <w:rFonts w:cs="Arial"/>
                <w:sz w:val="24"/>
                <w:szCs w:val="24"/>
              </w:rPr>
            </w:pPr>
            <w:r w:rsidRPr="00527E0C">
              <w:rPr>
                <w:rFonts w:cs="Arial"/>
                <w:sz w:val="24"/>
                <w:szCs w:val="24"/>
              </w:rPr>
              <w:t>Human Rights Act 1998</w:t>
            </w:r>
          </w:p>
          <w:p w:rsidR="00B72F85" w:rsidRPr="00527E0C" w:rsidRDefault="00B72F85" w:rsidP="008048CA">
            <w:pPr>
              <w:pStyle w:val="ListParagraph"/>
              <w:numPr>
                <w:ilvl w:val="0"/>
                <w:numId w:val="16"/>
              </w:numPr>
              <w:rPr>
                <w:rFonts w:cs="Arial"/>
                <w:sz w:val="24"/>
                <w:szCs w:val="24"/>
              </w:rPr>
            </w:pPr>
            <w:r w:rsidRPr="00527E0C">
              <w:rPr>
                <w:rFonts w:cs="Arial"/>
                <w:sz w:val="24"/>
                <w:szCs w:val="24"/>
              </w:rPr>
              <w:t>Medical Act 1983</w:t>
            </w:r>
          </w:p>
          <w:p w:rsidR="00B72F85" w:rsidRPr="00527E0C" w:rsidRDefault="00B72F85" w:rsidP="008048CA">
            <w:pPr>
              <w:pStyle w:val="ListParagraph"/>
              <w:numPr>
                <w:ilvl w:val="0"/>
                <w:numId w:val="16"/>
              </w:numPr>
              <w:rPr>
                <w:rFonts w:cs="Arial"/>
                <w:sz w:val="24"/>
                <w:szCs w:val="24"/>
              </w:rPr>
            </w:pPr>
            <w:r w:rsidRPr="00527E0C">
              <w:rPr>
                <w:rFonts w:cs="Arial"/>
                <w:sz w:val="24"/>
                <w:szCs w:val="24"/>
              </w:rPr>
              <w:t>Mental Capacity Act 2005</w:t>
            </w:r>
          </w:p>
          <w:p w:rsidR="00B72F85" w:rsidRPr="00527E0C" w:rsidRDefault="00B72F85" w:rsidP="00B8052B">
            <w:pPr>
              <w:pStyle w:val="Thirdsubbody"/>
              <w:numPr>
                <w:ilvl w:val="0"/>
                <w:numId w:val="16"/>
              </w:numPr>
              <w:spacing w:before="0"/>
              <w:rPr>
                <w:rFonts w:cs="Arial"/>
                <w:sz w:val="24"/>
                <w:szCs w:val="24"/>
              </w:rPr>
            </w:pPr>
            <w:r w:rsidRPr="00527E0C">
              <w:rPr>
                <w:rFonts w:cs="Arial"/>
                <w:sz w:val="24"/>
                <w:szCs w:val="24"/>
              </w:rPr>
              <w:t xml:space="preserve">NHS Digital. “FAQs on legal access to personal confidential data.” Accessed 16 September 2016. Available from </w:t>
            </w:r>
            <w:hyperlink r:id="rId11" w:history="1">
              <w:r w:rsidRPr="00527E0C">
                <w:rPr>
                  <w:rStyle w:val="Hyperlink"/>
                  <w:rFonts w:cs="Arial"/>
                  <w:sz w:val="24"/>
                  <w:szCs w:val="24"/>
                </w:rPr>
                <w:t>http://digital.nhs.uk/article/3638/Personal-data-access-FAQs</w:t>
              </w:r>
            </w:hyperlink>
            <w:r w:rsidRPr="00527E0C">
              <w:rPr>
                <w:rFonts w:cs="Arial"/>
                <w:sz w:val="24"/>
                <w:szCs w:val="24"/>
              </w:rPr>
              <w:t xml:space="preserve">. </w:t>
            </w:r>
          </w:p>
          <w:p w:rsidR="00B72F85" w:rsidRPr="00527E0C" w:rsidRDefault="00B72F85" w:rsidP="008048CA">
            <w:pPr>
              <w:pStyle w:val="Thirdsubbody"/>
              <w:numPr>
                <w:ilvl w:val="0"/>
                <w:numId w:val="16"/>
              </w:numPr>
              <w:spacing w:before="0"/>
              <w:rPr>
                <w:rFonts w:cs="Arial"/>
                <w:sz w:val="24"/>
                <w:szCs w:val="24"/>
              </w:rPr>
            </w:pPr>
            <w:r w:rsidRPr="00527E0C">
              <w:rPr>
                <w:rFonts w:cs="Arial"/>
                <w:sz w:val="24"/>
                <w:szCs w:val="24"/>
              </w:rPr>
              <w:t>NHS Sexually transmitted disease regulations 2000</w:t>
            </w:r>
          </w:p>
          <w:p w:rsidR="00B72F85" w:rsidRPr="00527E0C" w:rsidRDefault="00B72F85" w:rsidP="008048CA">
            <w:pPr>
              <w:pStyle w:val="Thirdsubbody"/>
              <w:numPr>
                <w:ilvl w:val="0"/>
                <w:numId w:val="16"/>
              </w:numPr>
              <w:spacing w:before="0"/>
              <w:rPr>
                <w:rFonts w:cs="Arial"/>
                <w:sz w:val="24"/>
                <w:szCs w:val="24"/>
              </w:rPr>
            </w:pPr>
            <w:r w:rsidRPr="00527E0C">
              <w:rPr>
                <w:rFonts w:cs="Arial"/>
                <w:sz w:val="24"/>
                <w:szCs w:val="24"/>
              </w:rPr>
              <w:t>Prevention of Terrorism (Temporary Provisions) Act 1989 &amp; Terrorism Act 2000</w:t>
            </w:r>
          </w:p>
          <w:p w:rsidR="00B72F85" w:rsidRPr="00527E0C" w:rsidRDefault="00B72F85" w:rsidP="008048CA">
            <w:pPr>
              <w:pStyle w:val="Thirdsubbody"/>
              <w:numPr>
                <w:ilvl w:val="0"/>
                <w:numId w:val="16"/>
              </w:numPr>
              <w:spacing w:before="0"/>
              <w:rPr>
                <w:rFonts w:cs="Arial"/>
                <w:bCs/>
                <w:sz w:val="24"/>
                <w:szCs w:val="24"/>
              </w:rPr>
            </w:pPr>
            <w:r w:rsidRPr="00527E0C">
              <w:rPr>
                <w:rFonts w:cs="Arial"/>
                <w:sz w:val="24"/>
                <w:szCs w:val="24"/>
              </w:rPr>
              <w:t>Privacy and Electronic Communications Regulations 2003</w:t>
            </w:r>
          </w:p>
          <w:p w:rsidR="00B72F85" w:rsidRPr="00527E0C" w:rsidRDefault="00B72F85" w:rsidP="008048CA">
            <w:pPr>
              <w:pStyle w:val="Thirdsubbody"/>
              <w:numPr>
                <w:ilvl w:val="0"/>
                <w:numId w:val="16"/>
              </w:numPr>
              <w:spacing w:before="0"/>
              <w:rPr>
                <w:rFonts w:cs="Arial"/>
                <w:bCs/>
                <w:sz w:val="24"/>
                <w:szCs w:val="24"/>
              </w:rPr>
            </w:pPr>
            <w:r w:rsidRPr="00527E0C">
              <w:rPr>
                <w:rFonts w:cs="Arial"/>
                <w:sz w:val="24"/>
                <w:szCs w:val="24"/>
              </w:rPr>
              <w:t>Protection of Freedoms Act 2012</w:t>
            </w:r>
          </w:p>
          <w:p w:rsidR="00B72F85" w:rsidRPr="00527E0C" w:rsidRDefault="00B72F85" w:rsidP="008048CA">
            <w:pPr>
              <w:pStyle w:val="Thirdsubbody"/>
              <w:numPr>
                <w:ilvl w:val="0"/>
                <w:numId w:val="16"/>
              </w:numPr>
              <w:spacing w:before="0"/>
              <w:rPr>
                <w:rFonts w:cs="Arial"/>
                <w:sz w:val="24"/>
                <w:szCs w:val="24"/>
              </w:rPr>
            </w:pPr>
            <w:r w:rsidRPr="00527E0C">
              <w:rPr>
                <w:rFonts w:cs="Arial"/>
                <w:sz w:val="24"/>
                <w:szCs w:val="24"/>
              </w:rPr>
              <w:t>Public Interest Disclosure Act 1998</w:t>
            </w:r>
          </w:p>
          <w:p w:rsidR="00B72F85" w:rsidRPr="00527E0C" w:rsidRDefault="00B72F85" w:rsidP="008048CA">
            <w:pPr>
              <w:pStyle w:val="Thirdsubbody"/>
              <w:numPr>
                <w:ilvl w:val="0"/>
                <w:numId w:val="16"/>
              </w:numPr>
              <w:spacing w:before="0"/>
              <w:rPr>
                <w:rFonts w:cs="Arial"/>
                <w:bCs/>
                <w:sz w:val="24"/>
                <w:szCs w:val="24"/>
              </w:rPr>
            </w:pPr>
            <w:r w:rsidRPr="00527E0C">
              <w:rPr>
                <w:rFonts w:cs="Arial"/>
                <w:sz w:val="24"/>
                <w:szCs w:val="24"/>
              </w:rPr>
              <w:t>Public Records Act 1958</w:t>
            </w:r>
          </w:p>
          <w:p w:rsidR="00B72F85" w:rsidRPr="00527E0C" w:rsidRDefault="00B72F85" w:rsidP="008048CA">
            <w:pPr>
              <w:pStyle w:val="Thirdsubbody"/>
              <w:numPr>
                <w:ilvl w:val="0"/>
                <w:numId w:val="16"/>
              </w:numPr>
              <w:spacing w:before="0"/>
              <w:rPr>
                <w:rFonts w:cs="Arial"/>
                <w:sz w:val="24"/>
                <w:szCs w:val="24"/>
              </w:rPr>
            </w:pPr>
            <w:r w:rsidRPr="00527E0C">
              <w:rPr>
                <w:rFonts w:cs="Arial"/>
                <w:sz w:val="24"/>
                <w:szCs w:val="24"/>
              </w:rPr>
              <w:t>Regulation of Investigatory Powers Act 2000 (and Lawful Business Practice Regulations 2000)</w:t>
            </w:r>
          </w:p>
          <w:p w:rsidR="00B72F85" w:rsidRPr="00527E0C" w:rsidRDefault="00B72F85" w:rsidP="008048CA">
            <w:pPr>
              <w:pStyle w:val="Thirdsubbody"/>
              <w:numPr>
                <w:ilvl w:val="0"/>
                <w:numId w:val="16"/>
              </w:numPr>
              <w:spacing w:before="0"/>
              <w:rPr>
                <w:rFonts w:cs="Arial"/>
                <w:bCs/>
                <w:sz w:val="24"/>
                <w:szCs w:val="24"/>
              </w:rPr>
            </w:pPr>
            <w:r w:rsidRPr="00527E0C">
              <w:rPr>
                <w:rFonts w:cs="Arial"/>
                <w:sz w:val="24"/>
                <w:szCs w:val="24"/>
              </w:rPr>
              <w:t>Regulations under Health and Safety at Work Act 1974</w:t>
            </w:r>
          </w:p>
          <w:p w:rsidR="00B72F85" w:rsidRPr="00527E0C" w:rsidRDefault="00B72F85" w:rsidP="008048CA">
            <w:pPr>
              <w:pStyle w:val="Thirdsubbody"/>
              <w:numPr>
                <w:ilvl w:val="0"/>
                <w:numId w:val="16"/>
              </w:numPr>
              <w:spacing w:before="0"/>
              <w:rPr>
                <w:rFonts w:cs="Arial"/>
                <w:sz w:val="24"/>
                <w:szCs w:val="24"/>
              </w:rPr>
            </w:pPr>
            <w:r w:rsidRPr="00527E0C">
              <w:rPr>
                <w:rFonts w:cs="Arial"/>
                <w:sz w:val="24"/>
                <w:szCs w:val="24"/>
              </w:rPr>
              <w:t>Road Traffic Act 1988</w:t>
            </w:r>
          </w:p>
          <w:p w:rsidR="00E335DA" w:rsidRPr="00527E0C" w:rsidRDefault="00B72F85" w:rsidP="00B8052B">
            <w:pPr>
              <w:pStyle w:val="Thirdsubbody"/>
              <w:numPr>
                <w:ilvl w:val="0"/>
                <w:numId w:val="16"/>
              </w:numPr>
              <w:spacing w:before="0"/>
              <w:rPr>
                <w:rFonts w:cs="Arial"/>
                <w:sz w:val="24"/>
                <w:szCs w:val="24"/>
              </w:rPr>
            </w:pPr>
            <w:r w:rsidRPr="00527E0C">
              <w:rPr>
                <w:rFonts w:cs="Arial"/>
                <w:sz w:val="24"/>
                <w:szCs w:val="24"/>
              </w:rPr>
              <w:lastRenderedPageBreak/>
              <w:t>The Children Act 1989 and 2004</w:t>
            </w:r>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Default"/>
            </w:pPr>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Default"/>
            </w:pPr>
            <w:r w:rsidRPr="00527E0C">
              <w:t>All staff are bound by the codes of conduct produced by any professional regulatory body, by the policies and procedures of the organisation and by the terms of their employment contract.</w:t>
            </w:r>
          </w:p>
          <w:p w:rsidR="007A5FD4" w:rsidRPr="00527E0C" w:rsidRDefault="007A5FD4" w:rsidP="008048CA">
            <w:pPr>
              <w:pStyle w:val="Default"/>
            </w:pPr>
          </w:p>
          <w:p w:rsidR="007A5FD4" w:rsidRPr="00527E0C" w:rsidRDefault="007A5FD4" w:rsidP="008048CA">
            <w:pPr>
              <w:pStyle w:val="Default"/>
            </w:pPr>
            <w:r w:rsidRPr="00527E0C">
              <w:t xml:space="preserve">The Department of Health Records Management Code of Practice sets out guidance for the creation, processing, sharing, storage, retention and destruction of records.  </w:t>
            </w:r>
          </w:p>
        </w:tc>
      </w:tr>
      <w:tr w:rsidR="003A49F4" w:rsidRPr="00527E0C" w:rsidTr="00837CC1">
        <w:tc>
          <w:tcPr>
            <w:tcW w:w="808" w:type="dxa"/>
          </w:tcPr>
          <w:p w:rsidR="003A49F4" w:rsidRPr="00527E0C" w:rsidRDefault="003A49F4" w:rsidP="008048CA">
            <w:pPr>
              <w:rPr>
                <w:b/>
              </w:rPr>
            </w:pPr>
          </w:p>
        </w:tc>
        <w:tc>
          <w:tcPr>
            <w:tcW w:w="8543" w:type="dxa"/>
          </w:tcPr>
          <w:p w:rsidR="003A49F4" w:rsidRPr="00527E0C" w:rsidRDefault="003A49F4" w:rsidP="008048CA">
            <w:pPr>
              <w:pStyle w:val="Default"/>
              <w:rPr>
                <w:b/>
              </w:rPr>
            </w:pPr>
          </w:p>
        </w:tc>
      </w:tr>
      <w:tr w:rsidR="007A5FD4" w:rsidRPr="00527E0C" w:rsidTr="00837CC1">
        <w:tc>
          <w:tcPr>
            <w:tcW w:w="9351" w:type="dxa"/>
            <w:gridSpan w:val="2"/>
          </w:tcPr>
          <w:p w:rsidR="007A5FD4" w:rsidRPr="00527E0C" w:rsidRDefault="007A5FD4" w:rsidP="00B63368">
            <w:pPr>
              <w:pStyle w:val="Heading1"/>
              <w:numPr>
                <w:ilvl w:val="0"/>
                <w:numId w:val="35"/>
              </w:numPr>
              <w:tabs>
                <w:tab w:val="clear" w:pos="927"/>
              </w:tabs>
              <w:ind w:left="743"/>
            </w:pPr>
            <w:bookmarkStart w:id="38" w:name="_Toc496602636"/>
            <w:r w:rsidRPr="00527E0C">
              <w:t>TRAINING</w:t>
            </w:r>
            <w:bookmarkEnd w:id="38"/>
          </w:p>
        </w:tc>
      </w:tr>
      <w:tr w:rsidR="007A5FD4" w:rsidRPr="00527E0C" w:rsidTr="00837CC1">
        <w:tc>
          <w:tcPr>
            <w:tcW w:w="808" w:type="dxa"/>
          </w:tcPr>
          <w:p w:rsidR="007A5FD4" w:rsidRPr="00527E0C" w:rsidRDefault="007A5FD4" w:rsidP="008048CA">
            <w:pPr>
              <w:rPr>
                <w:b/>
                <w:bCs/>
              </w:rPr>
            </w:pPr>
          </w:p>
        </w:tc>
        <w:tc>
          <w:tcPr>
            <w:tcW w:w="8543" w:type="dxa"/>
          </w:tcPr>
          <w:p w:rsidR="007A5FD4" w:rsidRPr="00527E0C" w:rsidRDefault="007A5FD4" w:rsidP="008048CA">
            <w:pPr>
              <w:pStyle w:val="BodyTextIndent"/>
              <w:ind w:left="0"/>
              <w:rPr>
                <w:rFonts w:cs="Arial"/>
                <w:b/>
                <w:bCs/>
              </w:rPr>
            </w:pPr>
          </w:p>
        </w:tc>
      </w:tr>
      <w:tr w:rsidR="007A5FD4" w:rsidRPr="00527E0C" w:rsidTr="00837CC1">
        <w:tc>
          <w:tcPr>
            <w:tcW w:w="9351" w:type="dxa"/>
            <w:gridSpan w:val="2"/>
          </w:tcPr>
          <w:p w:rsidR="007A5FD4" w:rsidRPr="00527E0C" w:rsidRDefault="007A5FD4" w:rsidP="00512755">
            <w:pPr>
              <w:pStyle w:val="Heading3"/>
            </w:pPr>
            <w:r w:rsidRPr="00527E0C">
              <w:tab/>
            </w:r>
            <w:bookmarkStart w:id="39" w:name="_Toc496602637"/>
            <w:r w:rsidRPr="00527E0C">
              <w:t>8.1 Mandatory Training</w:t>
            </w:r>
            <w:bookmarkEnd w:id="39"/>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BodyTextIndent"/>
              <w:ind w:left="0"/>
              <w:rPr>
                <w:rFonts w:cs="Arial"/>
                <w:b/>
              </w:rPr>
            </w:pPr>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r w:rsidRPr="00527E0C">
              <w:t xml:space="preserve">The </w:t>
            </w:r>
            <w:r w:rsidR="00AC550E">
              <w:t>Data Security Protection</w:t>
            </w:r>
            <w:r w:rsidRPr="00527E0C">
              <w:t xml:space="preserve"> Toolkit requires that all staff must undergo information governance training annually. All staff will receive information governance </w:t>
            </w:r>
            <w:r w:rsidR="005835E0" w:rsidRPr="00527E0C">
              <w:t>in accordance with the IG Training Strategy</w:t>
            </w:r>
            <w:r w:rsidRPr="00527E0C">
              <w:t xml:space="preserve">. </w:t>
            </w:r>
          </w:p>
          <w:p w:rsidR="007A5FD4" w:rsidRPr="00527E0C" w:rsidRDefault="007A5FD4" w:rsidP="008048CA"/>
          <w:p w:rsidR="007A5FD4" w:rsidRPr="00527E0C" w:rsidRDefault="007E528D" w:rsidP="007E528D">
            <w:pPr>
              <w:ind w:right="15"/>
            </w:pPr>
            <w:r w:rsidRPr="00527E0C">
              <w:t>Line m</w:t>
            </w:r>
            <w:r w:rsidR="007A5FD4" w:rsidRPr="00527E0C">
              <w:t xml:space="preserve">anagers must actively ensure that </w:t>
            </w:r>
            <w:r w:rsidR="007A5FD4" w:rsidRPr="00527E0C">
              <w:rPr>
                <w:b/>
              </w:rPr>
              <w:t>all</w:t>
            </w:r>
            <w:r w:rsidR="007A5FD4" w:rsidRPr="00527E0C">
              <w:t xml:space="preserve"> staff undertake and complete the</w:t>
            </w:r>
            <w:r w:rsidR="005D6C5C" w:rsidRPr="00527E0C">
              <w:t xml:space="preserve"> annual</w:t>
            </w:r>
            <w:r w:rsidR="007A5FD4" w:rsidRPr="00527E0C">
              <w:t xml:space="preserve"> mandatory information governance training.   </w:t>
            </w:r>
          </w:p>
        </w:tc>
      </w:tr>
      <w:tr w:rsidR="003A49F4" w:rsidRPr="00527E0C" w:rsidTr="00837CC1">
        <w:tc>
          <w:tcPr>
            <w:tcW w:w="808" w:type="dxa"/>
          </w:tcPr>
          <w:p w:rsidR="003A49F4" w:rsidRPr="00527E0C" w:rsidRDefault="003A49F4" w:rsidP="008048CA">
            <w:pPr>
              <w:rPr>
                <w:b/>
              </w:rPr>
            </w:pPr>
          </w:p>
        </w:tc>
        <w:tc>
          <w:tcPr>
            <w:tcW w:w="8543" w:type="dxa"/>
          </w:tcPr>
          <w:p w:rsidR="003A49F4" w:rsidRPr="00527E0C" w:rsidRDefault="003A49F4" w:rsidP="008048CA">
            <w:pPr>
              <w:pStyle w:val="Default"/>
              <w:rPr>
                <w:b/>
              </w:rPr>
            </w:pPr>
          </w:p>
        </w:tc>
      </w:tr>
      <w:tr w:rsidR="007A5FD4" w:rsidRPr="00527E0C" w:rsidTr="00837CC1">
        <w:tc>
          <w:tcPr>
            <w:tcW w:w="9351" w:type="dxa"/>
            <w:gridSpan w:val="2"/>
          </w:tcPr>
          <w:p w:rsidR="007A5FD4" w:rsidRPr="00527E0C" w:rsidRDefault="007A5FD4" w:rsidP="00512755">
            <w:pPr>
              <w:pStyle w:val="Heading3"/>
            </w:pPr>
            <w:r w:rsidRPr="00527E0C">
              <w:tab/>
            </w:r>
            <w:bookmarkStart w:id="40" w:name="_Toc496602638"/>
            <w:r w:rsidRPr="00527E0C">
              <w:t>8.2 Specialist Training</w:t>
            </w:r>
            <w:bookmarkEnd w:id="40"/>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rPr>
                <w:b/>
              </w:rPr>
            </w:pPr>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ind w:firstLine="3"/>
            </w:pPr>
            <w:r w:rsidRPr="00527E0C">
              <w:t>Additional training may be provided in specialist areas such as data protection.  The need for additional traini</w:t>
            </w:r>
            <w:r w:rsidR="005835E0" w:rsidRPr="00527E0C">
              <w:t>ng should be identified with reference to the IG Training Strategy</w:t>
            </w:r>
            <w:r w:rsidRPr="00527E0C">
              <w:t xml:space="preserve">.  </w:t>
            </w:r>
          </w:p>
        </w:tc>
      </w:tr>
      <w:tr w:rsidR="003A49F4" w:rsidRPr="00527E0C" w:rsidTr="00837CC1">
        <w:tc>
          <w:tcPr>
            <w:tcW w:w="808" w:type="dxa"/>
          </w:tcPr>
          <w:p w:rsidR="003A49F4" w:rsidRPr="00527E0C" w:rsidRDefault="003A49F4" w:rsidP="008048CA">
            <w:pPr>
              <w:rPr>
                <w:b/>
              </w:rPr>
            </w:pPr>
          </w:p>
        </w:tc>
        <w:tc>
          <w:tcPr>
            <w:tcW w:w="8543" w:type="dxa"/>
          </w:tcPr>
          <w:p w:rsidR="003A49F4" w:rsidRPr="00527E0C" w:rsidRDefault="003A49F4" w:rsidP="008048CA">
            <w:pPr>
              <w:pStyle w:val="Default"/>
              <w:rPr>
                <w:b/>
              </w:rPr>
            </w:pPr>
          </w:p>
        </w:tc>
      </w:tr>
      <w:tr w:rsidR="007A5FD4" w:rsidRPr="00527E0C" w:rsidTr="00837CC1">
        <w:tc>
          <w:tcPr>
            <w:tcW w:w="9351" w:type="dxa"/>
            <w:gridSpan w:val="2"/>
          </w:tcPr>
          <w:p w:rsidR="007A5FD4" w:rsidRPr="00527E0C" w:rsidRDefault="007A5FD4" w:rsidP="00472BCA">
            <w:pPr>
              <w:pStyle w:val="Heading1"/>
              <w:numPr>
                <w:ilvl w:val="0"/>
                <w:numId w:val="35"/>
              </w:numPr>
              <w:tabs>
                <w:tab w:val="clear" w:pos="927"/>
              </w:tabs>
              <w:ind w:left="743"/>
            </w:pPr>
            <w:bookmarkStart w:id="41" w:name="_Toc496602639"/>
            <w:r w:rsidRPr="00527E0C">
              <w:t>IMPLEMENTATION AND DISSEMINATION</w:t>
            </w:r>
            <w:bookmarkEnd w:id="41"/>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ind w:left="3"/>
              <w:rPr>
                <w:b/>
              </w:rPr>
            </w:pPr>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TempNormal2"/>
              <w:spacing w:line="240" w:lineRule="auto"/>
              <w:rPr>
                <w:rFonts w:ascii="Arial" w:hAnsi="Arial" w:cs="Arial"/>
                <w:sz w:val="24"/>
                <w:szCs w:val="24"/>
              </w:rPr>
            </w:pPr>
            <w:r w:rsidRPr="00527E0C">
              <w:rPr>
                <w:rFonts w:ascii="Arial" w:hAnsi="Arial" w:cs="Arial"/>
                <w:sz w:val="24"/>
                <w:szCs w:val="24"/>
              </w:rPr>
              <w:t xml:space="preserve">Following ratification by the </w:t>
            </w:r>
            <w:r w:rsidR="00C52CFA">
              <w:rPr>
                <w:rFonts w:ascii="Arial" w:hAnsi="Arial" w:cs="Arial"/>
                <w:sz w:val="24"/>
                <w:szCs w:val="24"/>
              </w:rPr>
              <w:t xml:space="preserve">Quality and Performance </w:t>
            </w:r>
            <w:r w:rsidRPr="00527E0C">
              <w:rPr>
                <w:rFonts w:ascii="Arial" w:hAnsi="Arial" w:cs="Arial"/>
                <w:sz w:val="24"/>
                <w:szCs w:val="24"/>
              </w:rPr>
              <w:t>Committee this policy will be disseminated to staff via</w:t>
            </w:r>
            <w:r w:rsidR="00580561">
              <w:rPr>
                <w:rFonts w:ascii="Arial" w:hAnsi="Arial" w:cs="Arial"/>
                <w:sz w:val="24"/>
                <w:szCs w:val="24"/>
              </w:rPr>
              <w:t xml:space="preserve"> an appropriate method e.g.</w:t>
            </w:r>
            <w:r w:rsidRPr="00527E0C">
              <w:rPr>
                <w:rFonts w:ascii="Arial" w:hAnsi="Arial" w:cs="Arial"/>
                <w:sz w:val="24"/>
                <w:szCs w:val="24"/>
              </w:rPr>
              <w:t xml:space="preserve"> the </w:t>
            </w:r>
            <w:r w:rsidR="00287C0B">
              <w:rPr>
                <w:rFonts w:ascii="Arial" w:hAnsi="Arial" w:cs="Arial"/>
                <w:sz w:val="24"/>
                <w:szCs w:val="24"/>
              </w:rPr>
              <w:t>Practice</w:t>
            </w:r>
            <w:r w:rsidRPr="00527E0C">
              <w:rPr>
                <w:rFonts w:ascii="Arial" w:hAnsi="Arial" w:cs="Arial"/>
                <w:sz w:val="24"/>
                <w:szCs w:val="24"/>
              </w:rPr>
              <w:t xml:space="preserve"> intranet and communication through in-house staff briefings.</w:t>
            </w:r>
          </w:p>
          <w:p w:rsidR="007A5FD4" w:rsidRPr="00527E0C" w:rsidRDefault="007A5FD4" w:rsidP="008048CA">
            <w:pPr>
              <w:pStyle w:val="TempNormal2"/>
              <w:spacing w:line="240" w:lineRule="auto"/>
              <w:ind w:left="177" w:right="85"/>
              <w:rPr>
                <w:rFonts w:ascii="Arial" w:hAnsi="Arial" w:cs="Arial"/>
                <w:sz w:val="24"/>
                <w:szCs w:val="24"/>
              </w:rPr>
            </w:pPr>
          </w:p>
          <w:p w:rsidR="007A5FD4" w:rsidRPr="00527E0C" w:rsidRDefault="007A5FD4" w:rsidP="008048CA">
            <w:pPr>
              <w:pStyle w:val="TempNormal2"/>
              <w:spacing w:line="240" w:lineRule="auto"/>
              <w:ind w:right="85"/>
              <w:rPr>
                <w:rFonts w:ascii="Arial" w:hAnsi="Arial" w:cs="Arial"/>
                <w:sz w:val="24"/>
                <w:szCs w:val="24"/>
              </w:rPr>
            </w:pPr>
            <w:r w:rsidRPr="00527E0C">
              <w:rPr>
                <w:rFonts w:ascii="Arial" w:hAnsi="Arial" w:cs="Arial"/>
                <w:sz w:val="24"/>
                <w:szCs w:val="24"/>
              </w:rPr>
              <w:t>This policy will be reviewed every two years or in line with changes to relevant legislation or national guidance.</w:t>
            </w:r>
          </w:p>
        </w:tc>
      </w:tr>
      <w:tr w:rsidR="003A49F4" w:rsidRPr="00527E0C" w:rsidTr="00837CC1">
        <w:tc>
          <w:tcPr>
            <w:tcW w:w="808" w:type="dxa"/>
          </w:tcPr>
          <w:p w:rsidR="003A49F4" w:rsidRPr="00527E0C" w:rsidRDefault="003A49F4" w:rsidP="008048CA">
            <w:pPr>
              <w:rPr>
                <w:b/>
              </w:rPr>
            </w:pPr>
          </w:p>
        </w:tc>
        <w:tc>
          <w:tcPr>
            <w:tcW w:w="8543" w:type="dxa"/>
          </w:tcPr>
          <w:p w:rsidR="003A49F4" w:rsidRPr="00527E0C" w:rsidRDefault="003A49F4" w:rsidP="008048CA">
            <w:pPr>
              <w:pStyle w:val="Default"/>
              <w:rPr>
                <w:b/>
              </w:rPr>
            </w:pPr>
          </w:p>
        </w:tc>
      </w:tr>
      <w:tr w:rsidR="007A5FD4" w:rsidRPr="00527E0C" w:rsidTr="00837CC1">
        <w:tc>
          <w:tcPr>
            <w:tcW w:w="9351" w:type="dxa"/>
            <w:gridSpan w:val="2"/>
          </w:tcPr>
          <w:p w:rsidR="007A5FD4" w:rsidRPr="00527E0C" w:rsidRDefault="007A5FD4" w:rsidP="00472BCA">
            <w:pPr>
              <w:pStyle w:val="Heading1"/>
              <w:numPr>
                <w:ilvl w:val="0"/>
                <w:numId w:val="35"/>
              </w:numPr>
              <w:tabs>
                <w:tab w:val="clear" w:pos="927"/>
              </w:tabs>
              <w:ind w:left="743"/>
            </w:pPr>
            <w:bookmarkStart w:id="42" w:name="_Toc496602640"/>
            <w:r w:rsidRPr="00527E0C">
              <w:t>MONITORING COMPLIANCE AND EFFECTIVENESS OF THE POLICY</w:t>
            </w:r>
            <w:bookmarkEnd w:id="42"/>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TempNormal2"/>
              <w:spacing w:line="240" w:lineRule="auto"/>
              <w:rPr>
                <w:rFonts w:ascii="Arial" w:hAnsi="Arial" w:cs="Arial"/>
                <w:b/>
                <w:sz w:val="24"/>
                <w:szCs w:val="24"/>
              </w:rPr>
            </w:pPr>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BodyTextIndent"/>
              <w:ind w:left="0"/>
              <w:rPr>
                <w:rFonts w:cs="Arial"/>
              </w:rPr>
            </w:pPr>
            <w:r w:rsidRPr="00527E0C">
              <w:rPr>
                <w:rFonts w:cs="Arial"/>
              </w:rPr>
              <w:t xml:space="preserve">An assessment of compliance with requirements, within the </w:t>
            </w:r>
            <w:r w:rsidR="00580561">
              <w:rPr>
                <w:rFonts w:cs="Arial"/>
              </w:rPr>
              <w:t>Data Security Protection</w:t>
            </w:r>
            <w:r w:rsidRPr="00527E0C">
              <w:rPr>
                <w:rFonts w:cs="Arial"/>
              </w:rPr>
              <w:t xml:space="preserve"> Toolkit (</w:t>
            </w:r>
            <w:r w:rsidR="00580561">
              <w:rPr>
                <w:rFonts w:cs="Arial"/>
              </w:rPr>
              <w:t>DSP</w:t>
            </w:r>
            <w:r w:rsidRPr="00527E0C">
              <w:rPr>
                <w:rFonts w:cs="Arial"/>
              </w:rPr>
              <w:t xml:space="preserve">), will be undertaken each year.  This includes confidentiality and data </w:t>
            </w:r>
            <w:r w:rsidR="007E528D" w:rsidRPr="00527E0C">
              <w:rPr>
                <w:rFonts w:cs="Arial"/>
              </w:rPr>
              <w:t>p</w:t>
            </w:r>
            <w:r w:rsidRPr="00527E0C">
              <w:rPr>
                <w:rFonts w:cs="Arial"/>
              </w:rPr>
              <w:t xml:space="preserve">rotection.  Incidents are reported and all serious information governance issues </w:t>
            </w:r>
            <w:r w:rsidR="00580561">
              <w:rPr>
                <w:rFonts w:cs="Arial"/>
              </w:rPr>
              <w:t>are escalated appropriately</w:t>
            </w:r>
            <w:r w:rsidRPr="00527E0C">
              <w:rPr>
                <w:rFonts w:cs="Arial"/>
              </w:rPr>
              <w:t xml:space="preserve">.   </w:t>
            </w:r>
          </w:p>
          <w:p w:rsidR="007A5FD4" w:rsidRPr="00527E0C" w:rsidRDefault="007A5FD4" w:rsidP="008048CA">
            <w:pPr>
              <w:pStyle w:val="BodyTextIndent"/>
              <w:ind w:left="0"/>
              <w:rPr>
                <w:rFonts w:cs="Arial"/>
              </w:rPr>
            </w:pPr>
          </w:p>
          <w:p w:rsidR="007A5FD4" w:rsidRPr="00527E0C" w:rsidRDefault="0072480B" w:rsidP="00B63368">
            <w:r w:rsidRPr="00527E0C">
              <w:t xml:space="preserve">Any suspicion of fraud or bribery should be reported at the earliest available opportunity through the </w:t>
            </w:r>
            <w:hyperlink r:id="rId12" w:history="1">
              <w:r w:rsidRPr="00527E0C">
                <w:rPr>
                  <w:rStyle w:val="Hyperlink"/>
                </w:rPr>
                <w:t>Report NHS Fraud website</w:t>
              </w:r>
            </w:hyperlink>
            <w:r w:rsidRPr="00527E0C">
              <w:t xml:space="preserve"> or telephoning 08000 28 40 60.</w:t>
            </w:r>
          </w:p>
        </w:tc>
      </w:tr>
      <w:tr w:rsidR="003A49F4" w:rsidRPr="00527E0C" w:rsidTr="00837CC1">
        <w:tc>
          <w:tcPr>
            <w:tcW w:w="808" w:type="dxa"/>
          </w:tcPr>
          <w:p w:rsidR="003A49F4" w:rsidRPr="00527E0C" w:rsidRDefault="003A49F4" w:rsidP="008048CA">
            <w:pPr>
              <w:rPr>
                <w:b/>
              </w:rPr>
            </w:pPr>
          </w:p>
        </w:tc>
        <w:tc>
          <w:tcPr>
            <w:tcW w:w="8543" w:type="dxa"/>
          </w:tcPr>
          <w:p w:rsidR="003A49F4" w:rsidRPr="00527E0C" w:rsidRDefault="003A49F4" w:rsidP="008048CA">
            <w:pPr>
              <w:pStyle w:val="Default"/>
              <w:rPr>
                <w:b/>
              </w:rPr>
            </w:pPr>
          </w:p>
        </w:tc>
      </w:tr>
      <w:tr w:rsidR="007A5FD4" w:rsidRPr="00527E0C" w:rsidTr="00837CC1">
        <w:tc>
          <w:tcPr>
            <w:tcW w:w="9351" w:type="dxa"/>
            <w:gridSpan w:val="2"/>
          </w:tcPr>
          <w:p w:rsidR="007A5FD4" w:rsidRPr="00527E0C" w:rsidRDefault="007A5FD4" w:rsidP="00472BCA">
            <w:pPr>
              <w:pStyle w:val="Heading1"/>
              <w:numPr>
                <w:ilvl w:val="0"/>
                <w:numId w:val="35"/>
              </w:numPr>
              <w:tabs>
                <w:tab w:val="clear" w:pos="927"/>
              </w:tabs>
              <w:ind w:left="743"/>
            </w:pPr>
            <w:bookmarkStart w:id="43" w:name="_Toc496602641"/>
            <w:r w:rsidRPr="00527E0C">
              <w:t>ADVICE AND GUIDANCE</w:t>
            </w:r>
            <w:bookmarkEnd w:id="43"/>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BodyTextIndent"/>
              <w:ind w:left="0"/>
              <w:rPr>
                <w:rFonts w:cs="Arial"/>
                <w:b/>
              </w:rPr>
            </w:pPr>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F824D7">
            <w:pPr>
              <w:pStyle w:val="BodyTextIndent"/>
              <w:ind w:left="0"/>
              <w:rPr>
                <w:rFonts w:cs="Arial"/>
              </w:rPr>
            </w:pPr>
            <w:r w:rsidRPr="00527E0C">
              <w:rPr>
                <w:rFonts w:cs="Arial"/>
              </w:rPr>
              <w:t>Advice and guidance on any matters stemming from the Polic</w:t>
            </w:r>
            <w:r w:rsidR="00F824D7">
              <w:rPr>
                <w:rFonts w:cs="Arial"/>
              </w:rPr>
              <w:t>y can be obtained by contacting the CCG IG team: leedscg.dataprotectionoffice@nhs.net</w:t>
            </w:r>
          </w:p>
          <w:p w:rsidR="007A5FD4" w:rsidRPr="00527E0C" w:rsidRDefault="007A5FD4" w:rsidP="008048CA">
            <w:pPr>
              <w:pStyle w:val="BodyTextIndent"/>
              <w:ind w:left="0"/>
              <w:jc w:val="both"/>
              <w:rPr>
                <w:rFonts w:cs="Arial"/>
                <w:b/>
              </w:rPr>
            </w:pPr>
          </w:p>
          <w:p w:rsidR="005835E0" w:rsidRPr="00527E0C" w:rsidRDefault="005835E0" w:rsidP="00F824D7">
            <w:pPr>
              <w:pStyle w:val="BodyTextIndent"/>
              <w:ind w:left="0"/>
              <w:rPr>
                <w:rFonts w:cs="Arial"/>
              </w:rPr>
            </w:pPr>
          </w:p>
        </w:tc>
      </w:tr>
      <w:tr w:rsidR="003A49F4" w:rsidRPr="00527E0C" w:rsidTr="00837CC1">
        <w:tc>
          <w:tcPr>
            <w:tcW w:w="808" w:type="dxa"/>
          </w:tcPr>
          <w:p w:rsidR="003A49F4" w:rsidRPr="00527E0C" w:rsidRDefault="003A49F4" w:rsidP="008048CA">
            <w:pPr>
              <w:rPr>
                <w:b/>
              </w:rPr>
            </w:pPr>
          </w:p>
        </w:tc>
        <w:tc>
          <w:tcPr>
            <w:tcW w:w="8543" w:type="dxa"/>
          </w:tcPr>
          <w:p w:rsidR="003A49F4" w:rsidRPr="00527E0C" w:rsidRDefault="003A49F4" w:rsidP="008048CA">
            <w:pPr>
              <w:pStyle w:val="Default"/>
              <w:rPr>
                <w:b/>
              </w:rPr>
            </w:pPr>
          </w:p>
        </w:tc>
      </w:tr>
      <w:tr w:rsidR="007A5FD4" w:rsidRPr="00527E0C" w:rsidTr="00837CC1">
        <w:tc>
          <w:tcPr>
            <w:tcW w:w="9351" w:type="dxa"/>
            <w:gridSpan w:val="2"/>
          </w:tcPr>
          <w:p w:rsidR="007A5FD4" w:rsidRPr="00527E0C" w:rsidRDefault="007A5FD4" w:rsidP="00472BCA">
            <w:pPr>
              <w:pStyle w:val="Heading1"/>
              <w:numPr>
                <w:ilvl w:val="0"/>
                <w:numId w:val="35"/>
              </w:numPr>
              <w:tabs>
                <w:tab w:val="clear" w:pos="927"/>
              </w:tabs>
              <w:ind w:left="743"/>
            </w:pPr>
            <w:bookmarkStart w:id="44" w:name="_Toc496602642"/>
            <w:r w:rsidRPr="00527E0C">
              <w:t>ASSOCIATED DOCUMENTS (Policies, protocols and procedures)</w:t>
            </w:r>
            <w:bookmarkEnd w:id="44"/>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Default"/>
              <w:rPr>
                <w:color w:val="auto"/>
              </w:rPr>
            </w:pPr>
          </w:p>
        </w:tc>
      </w:tr>
      <w:tr w:rsidR="007A5FD4" w:rsidRPr="00527E0C" w:rsidTr="00837CC1">
        <w:tc>
          <w:tcPr>
            <w:tcW w:w="808" w:type="dxa"/>
          </w:tcPr>
          <w:p w:rsidR="007A5FD4" w:rsidRPr="00527E0C" w:rsidRDefault="007A5FD4" w:rsidP="008048CA">
            <w:pPr>
              <w:rPr>
                <w:b/>
              </w:rPr>
            </w:pPr>
          </w:p>
        </w:tc>
        <w:tc>
          <w:tcPr>
            <w:tcW w:w="8543" w:type="dxa"/>
          </w:tcPr>
          <w:p w:rsidR="007A5FD4" w:rsidRPr="00527E0C" w:rsidRDefault="007A5FD4" w:rsidP="008048CA">
            <w:pPr>
              <w:pStyle w:val="Default"/>
              <w:rPr>
                <w:color w:val="auto"/>
              </w:rPr>
            </w:pPr>
            <w:r w:rsidRPr="00527E0C">
              <w:rPr>
                <w:color w:val="auto"/>
              </w:rPr>
              <w:t>This policy should be read in conjunction with:</w:t>
            </w:r>
          </w:p>
          <w:p w:rsidR="007A5FD4" w:rsidRPr="00527E0C" w:rsidRDefault="007A5FD4" w:rsidP="008048CA">
            <w:pPr>
              <w:pStyle w:val="Default"/>
              <w:rPr>
                <w:color w:val="auto"/>
              </w:rPr>
            </w:pPr>
          </w:p>
          <w:p w:rsidR="007743A7" w:rsidRPr="00527E0C" w:rsidRDefault="007743A7" w:rsidP="008048CA">
            <w:pPr>
              <w:pStyle w:val="Default"/>
              <w:numPr>
                <w:ilvl w:val="0"/>
                <w:numId w:val="9"/>
              </w:numPr>
              <w:ind w:left="360"/>
              <w:rPr>
                <w:color w:val="auto"/>
              </w:rPr>
            </w:pPr>
            <w:r w:rsidRPr="00527E0C">
              <w:rPr>
                <w:color w:val="auto"/>
              </w:rPr>
              <w:t>Information Governance Strategy</w:t>
            </w:r>
          </w:p>
          <w:p w:rsidR="007A5FD4" w:rsidRPr="00527E0C" w:rsidRDefault="007743A7" w:rsidP="008048CA">
            <w:pPr>
              <w:pStyle w:val="Default"/>
              <w:numPr>
                <w:ilvl w:val="0"/>
                <w:numId w:val="9"/>
              </w:numPr>
              <w:ind w:left="360"/>
              <w:rPr>
                <w:color w:val="auto"/>
              </w:rPr>
            </w:pPr>
            <w:r w:rsidRPr="00527E0C">
              <w:rPr>
                <w:color w:val="auto"/>
              </w:rPr>
              <w:t>Information Governance Policy and Management Framework</w:t>
            </w:r>
          </w:p>
          <w:p w:rsidR="007A5FD4" w:rsidRPr="00527E0C" w:rsidRDefault="007A5FD4" w:rsidP="008048CA">
            <w:pPr>
              <w:pStyle w:val="Default"/>
              <w:numPr>
                <w:ilvl w:val="0"/>
                <w:numId w:val="9"/>
              </w:numPr>
              <w:ind w:left="360"/>
              <w:rPr>
                <w:color w:val="auto"/>
              </w:rPr>
            </w:pPr>
            <w:r w:rsidRPr="00527E0C">
              <w:rPr>
                <w:color w:val="auto"/>
              </w:rPr>
              <w:t>Records Management and Information Lifecycle Policy</w:t>
            </w:r>
          </w:p>
          <w:p w:rsidR="007A5FD4" w:rsidRPr="00527E0C" w:rsidRDefault="007A5FD4" w:rsidP="008048CA">
            <w:pPr>
              <w:pStyle w:val="Default"/>
              <w:numPr>
                <w:ilvl w:val="0"/>
                <w:numId w:val="9"/>
              </w:numPr>
              <w:ind w:left="360"/>
              <w:rPr>
                <w:color w:val="auto"/>
              </w:rPr>
            </w:pPr>
            <w:r w:rsidRPr="00527E0C">
              <w:rPr>
                <w:color w:val="auto"/>
              </w:rPr>
              <w:t>Freedom of Information Act and Environmental Information Regulations Policy</w:t>
            </w:r>
          </w:p>
          <w:p w:rsidR="007A5FD4" w:rsidRPr="00527E0C" w:rsidRDefault="007A5FD4" w:rsidP="008048CA">
            <w:pPr>
              <w:pStyle w:val="Default"/>
              <w:numPr>
                <w:ilvl w:val="0"/>
                <w:numId w:val="9"/>
              </w:numPr>
              <w:ind w:left="360"/>
              <w:rPr>
                <w:color w:val="auto"/>
              </w:rPr>
            </w:pPr>
            <w:r w:rsidRPr="00527E0C">
              <w:rPr>
                <w:color w:val="auto"/>
              </w:rPr>
              <w:t>Information Security Policy</w:t>
            </w:r>
          </w:p>
          <w:p w:rsidR="007A5FD4" w:rsidRPr="00527E0C" w:rsidRDefault="007A5FD4" w:rsidP="008048CA">
            <w:pPr>
              <w:pStyle w:val="Default"/>
              <w:numPr>
                <w:ilvl w:val="0"/>
                <w:numId w:val="9"/>
              </w:numPr>
              <w:ind w:left="360"/>
              <w:rPr>
                <w:color w:val="auto"/>
              </w:rPr>
            </w:pPr>
            <w:r w:rsidRPr="00527E0C">
              <w:rPr>
                <w:color w:val="auto"/>
              </w:rPr>
              <w:t>Network Security Policy</w:t>
            </w:r>
          </w:p>
          <w:p w:rsidR="00513441" w:rsidRPr="00527E0C" w:rsidRDefault="00513441" w:rsidP="008048CA">
            <w:pPr>
              <w:pStyle w:val="Default"/>
              <w:numPr>
                <w:ilvl w:val="0"/>
                <w:numId w:val="9"/>
              </w:numPr>
              <w:ind w:left="360"/>
              <w:rPr>
                <w:color w:val="auto"/>
              </w:rPr>
            </w:pPr>
            <w:r w:rsidRPr="00527E0C">
              <w:rPr>
                <w:color w:val="auto"/>
              </w:rPr>
              <w:t>Mobile Working Policy</w:t>
            </w:r>
          </w:p>
          <w:p w:rsidR="007A5FD4" w:rsidRPr="00527E0C" w:rsidRDefault="007A5FD4" w:rsidP="008048CA">
            <w:pPr>
              <w:pStyle w:val="Default"/>
              <w:numPr>
                <w:ilvl w:val="0"/>
                <w:numId w:val="9"/>
              </w:numPr>
              <w:ind w:left="360"/>
              <w:rPr>
                <w:color w:val="auto"/>
              </w:rPr>
            </w:pPr>
            <w:r w:rsidRPr="00527E0C">
              <w:rPr>
                <w:color w:val="auto"/>
              </w:rPr>
              <w:t>Risk Management Policy</w:t>
            </w:r>
          </w:p>
          <w:p w:rsidR="007A5FD4" w:rsidRPr="00527E0C" w:rsidRDefault="007A5FD4" w:rsidP="008048CA">
            <w:pPr>
              <w:pStyle w:val="Default"/>
              <w:numPr>
                <w:ilvl w:val="0"/>
                <w:numId w:val="9"/>
              </w:numPr>
              <w:ind w:left="360"/>
              <w:rPr>
                <w:color w:val="auto"/>
              </w:rPr>
            </w:pPr>
            <w:r w:rsidRPr="00527E0C">
              <w:rPr>
                <w:color w:val="auto"/>
              </w:rPr>
              <w:t>Incident Reporting Policy</w:t>
            </w:r>
          </w:p>
          <w:p w:rsidR="007A5FD4" w:rsidRPr="00527E0C" w:rsidRDefault="007A5FD4" w:rsidP="008048CA">
            <w:pPr>
              <w:pStyle w:val="Default"/>
              <w:numPr>
                <w:ilvl w:val="0"/>
                <w:numId w:val="9"/>
              </w:numPr>
              <w:ind w:left="360"/>
              <w:rPr>
                <w:color w:val="auto"/>
              </w:rPr>
            </w:pPr>
            <w:r w:rsidRPr="00527E0C">
              <w:rPr>
                <w:color w:val="auto"/>
              </w:rPr>
              <w:t xml:space="preserve">Business Continuity </w:t>
            </w:r>
            <w:r w:rsidR="006D0DE0" w:rsidRPr="00527E0C">
              <w:rPr>
                <w:color w:val="auto"/>
              </w:rPr>
              <w:t>Plan</w:t>
            </w:r>
          </w:p>
          <w:p w:rsidR="007A5FD4" w:rsidRPr="00527E0C" w:rsidRDefault="007A5FD4" w:rsidP="008048CA">
            <w:pPr>
              <w:pStyle w:val="Default"/>
              <w:numPr>
                <w:ilvl w:val="0"/>
                <w:numId w:val="9"/>
              </w:numPr>
              <w:ind w:left="360"/>
              <w:rPr>
                <w:color w:val="auto"/>
              </w:rPr>
            </w:pPr>
            <w:r w:rsidRPr="00527E0C">
              <w:rPr>
                <w:color w:val="auto"/>
              </w:rPr>
              <w:t>Disciplinary Policy</w:t>
            </w:r>
          </w:p>
          <w:p w:rsidR="007A5FD4" w:rsidRPr="00527E0C" w:rsidRDefault="007A5FD4" w:rsidP="008048CA">
            <w:pPr>
              <w:pStyle w:val="Default"/>
              <w:numPr>
                <w:ilvl w:val="0"/>
                <w:numId w:val="9"/>
              </w:numPr>
              <w:ind w:left="360"/>
              <w:rPr>
                <w:color w:val="auto"/>
              </w:rPr>
            </w:pPr>
            <w:r w:rsidRPr="00527E0C">
              <w:rPr>
                <w:color w:val="auto"/>
              </w:rPr>
              <w:t>Anti-Fraud Policy</w:t>
            </w:r>
          </w:p>
          <w:p w:rsidR="007A5FD4" w:rsidRPr="00527E0C" w:rsidRDefault="007A5FD4" w:rsidP="008048CA">
            <w:pPr>
              <w:pStyle w:val="Default"/>
              <w:numPr>
                <w:ilvl w:val="0"/>
                <w:numId w:val="9"/>
              </w:numPr>
              <w:ind w:left="360"/>
              <w:rPr>
                <w:color w:val="auto"/>
              </w:rPr>
            </w:pPr>
            <w:r w:rsidRPr="00527E0C">
              <w:rPr>
                <w:color w:val="auto"/>
              </w:rPr>
              <w:t>Anti-Bribery Policy</w:t>
            </w:r>
          </w:p>
          <w:p w:rsidR="007A5FD4" w:rsidRPr="00527E0C" w:rsidRDefault="007A5FD4" w:rsidP="008048CA">
            <w:pPr>
              <w:pStyle w:val="Default"/>
              <w:numPr>
                <w:ilvl w:val="0"/>
                <w:numId w:val="9"/>
              </w:numPr>
              <w:ind w:left="360"/>
              <w:rPr>
                <w:color w:val="auto"/>
              </w:rPr>
            </w:pPr>
            <w:r w:rsidRPr="00527E0C">
              <w:rPr>
                <w:color w:val="auto"/>
              </w:rPr>
              <w:t>Whistle Blowing Policy</w:t>
            </w:r>
          </w:p>
          <w:p w:rsidR="007743A7" w:rsidRPr="00527E0C" w:rsidRDefault="007743A7" w:rsidP="008048CA">
            <w:pPr>
              <w:pStyle w:val="Default"/>
              <w:numPr>
                <w:ilvl w:val="0"/>
                <w:numId w:val="9"/>
              </w:numPr>
              <w:ind w:left="360"/>
              <w:rPr>
                <w:color w:val="auto"/>
              </w:rPr>
            </w:pPr>
            <w:r w:rsidRPr="00527E0C">
              <w:rPr>
                <w:color w:val="auto"/>
              </w:rPr>
              <w:t>Internet and Social Media Policy</w:t>
            </w:r>
            <w:r w:rsidR="007A5FD4" w:rsidRPr="00527E0C">
              <w:rPr>
                <w:color w:val="auto"/>
              </w:rPr>
              <w:t xml:space="preserve"> </w:t>
            </w:r>
          </w:p>
          <w:p w:rsidR="007A5FD4" w:rsidRPr="00527E0C" w:rsidRDefault="007A5FD4" w:rsidP="008048CA">
            <w:pPr>
              <w:pStyle w:val="Default"/>
              <w:numPr>
                <w:ilvl w:val="0"/>
                <w:numId w:val="9"/>
              </w:numPr>
              <w:ind w:left="360"/>
              <w:rPr>
                <w:color w:val="auto"/>
              </w:rPr>
            </w:pPr>
            <w:r w:rsidRPr="00527E0C">
              <w:rPr>
                <w:color w:val="auto"/>
              </w:rPr>
              <w:t>Email Pol</w:t>
            </w:r>
            <w:r w:rsidR="007743A7" w:rsidRPr="00527E0C">
              <w:rPr>
                <w:color w:val="auto"/>
              </w:rPr>
              <w:t>icy</w:t>
            </w:r>
          </w:p>
          <w:p w:rsidR="007A5FD4" w:rsidRPr="00527E0C" w:rsidRDefault="007A5FD4" w:rsidP="008048CA">
            <w:pPr>
              <w:pStyle w:val="Default"/>
              <w:rPr>
                <w:color w:val="auto"/>
              </w:rPr>
            </w:pPr>
          </w:p>
          <w:p w:rsidR="007A5FD4" w:rsidRPr="00527E0C" w:rsidRDefault="007A5FD4" w:rsidP="008048CA">
            <w:pPr>
              <w:pStyle w:val="Default"/>
              <w:rPr>
                <w:color w:val="auto"/>
              </w:rPr>
            </w:pPr>
            <w:r w:rsidRPr="00527E0C">
              <w:rPr>
                <w:color w:val="auto"/>
              </w:rPr>
              <w:t>And their associated procedures (including but not limited to):</w:t>
            </w:r>
          </w:p>
          <w:p w:rsidR="007A5FD4" w:rsidRPr="00527E0C" w:rsidRDefault="007A5FD4" w:rsidP="008048CA">
            <w:pPr>
              <w:pStyle w:val="Default"/>
              <w:rPr>
                <w:color w:val="auto"/>
              </w:rPr>
            </w:pPr>
          </w:p>
          <w:p w:rsidR="00D6569F" w:rsidRPr="00527E0C" w:rsidRDefault="00D6569F" w:rsidP="008048CA">
            <w:pPr>
              <w:pStyle w:val="Default"/>
              <w:numPr>
                <w:ilvl w:val="0"/>
                <w:numId w:val="10"/>
              </w:numPr>
              <w:ind w:left="360"/>
              <w:rPr>
                <w:color w:val="auto"/>
              </w:rPr>
            </w:pPr>
            <w:r w:rsidRPr="00527E0C">
              <w:rPr>
                <w:color w:val="auto"/>
              </w:rPr>
              <w:t>Subject Access Request (Access to Health Records) Procedure</w:t>
            </w:r>
          </w:p>
          <w:p w:rsidR="007A5FD4" w:rsidRPr="00527E0C" w:rsidRDefault="007A5FD4" w:rsidP="008048CA">
            <w:pPr>
              <w:pStyle w:val="Default"/>
              <w:numPr>
                <w:ilvl w:val="0"/>
                <w:numId w:val="10"/>
              </w:numPr>
              <w:ind w:left="360"/>
              <w:rPr>
                <w:color w:val="auto"/>
              </w:rPr>
            </w:pPr>
            <w:r w:rsidRPr="00527E0C">
              <w:rPr>
                <w:color w:val="auto"/>
              </w:rPr>
              <w:t>Information Sharing Protocol</w:t>
            </w:r>
          </w:p>
          <w:p w:rsidR="007A5FD4" w:rsidRPr="00527E0C" w:rsidRDefault="007A5FD4" w:rsidP="008048CA">
            <w:pPr>
              <w:pStyle w:val="Default"/>
              <w:numPr>
                <w:ilvl w:val="0"/>
                <w:numId w:val="10"/>
              </w:numPr>
              <w:ind w:left="360"/>
              <w:rPr>
                <w:color w:val="auto"/>
              </w:rPr>
            </w:pPr>
            <w:r w:rsidRPr="00527E0C">
              <w:rPr>
                <w:color w:val="auto"/>
              </w:rPr>
              <w:t>Freedom of Information Procedures</w:t>
            </w:r>
          </w:p>
          <w:p w:rsidR="00472BCA" w:rsidRPr="00527E0C" w:rsidRDefault="007A5FD4" w:rsidP="008048CA">
            <w:pPr>
              <w:pStyle w:val="Default"/>
              <w:numPr>
                <w:ilvl w:val="0"/>
                <w:numId w:val="10"/>
              </w:numPr>
              <w:ind w:left="360"/>
              <w:rPr>
                <w:color w:val="auto"/>
              </w:rPr>
            </w:pPr>
            <w:r w:rsidRPr="00527E0C">
              <w:rPr>
                <w:color w:val="auto"/>
              </w:rPr>
              <w:t xml:space="preserve">Privacy Impact </w:t>
            </w:r>
            <w:r w:rsidR="00513441" w:rsidRPr="00527E0C">
              <w:rPr>
                <w:color w:val="auto"/>
              </w:rPr>
              <w:t>Assessment Procedure and supporting documents</w:t>
            </w:r>
          </w:p>
          <w:p w:rsidR="007A5FD4" w:rsidRPr="00527E0C" w:rsidRDefault="00513441" w:rsidP="008048CA">
            <w:pPr>
              <w:pStyle w:val="Default"/>
              <w:numPr>
                <w:ilvl w:val="0"/>
                <w:numId w:val="10"/>
              </w:numPr>
              <w:ind w:left="360"/>
              <w:rPr>
                <w:color w:val="auto"/>
              </w:rPr>
            </w:pPr>
            <w:r w:rsidRPr="00527E0C">
              <w:rPr>
                <w:color w:val="auto"/>
              </w:rPr>
              <w:t>Safe Transfer Guidelines and Procedure</w:t>
            </w:r>
          </w:p>
        </w:tc>
      </w:tr>
      <w:tr w:rsidR="00472BCA" w:rsidRPr="00527E0C" w:rsidTr="00837CC1">
        <w:tc>
          <w:tcPr>
            <w:tcW w:w="808" w:type="dxa"/>
          </w:tcPr>
          <w:p w:rsidR="00472BCA" w:rsidRPr="00527E0C" w:rsidRDefault="00472BCA" w:rsidP="008048CA">
            <w:pPr>
              <w:rPr>
                <w:b/>
              </w:rPr>
            </w:pPr>
          </w:p>
        </w:tc>
        <w:tc>
          <w:tcPr>
            <w:tcW w:w="8543" w:type="dxa"/>
          </w:tcPr>
          <w:p w:rsidR="00472BCA" w:rsidRPr="00527E0C" w:rsidRDefault="00472BCA" w:rsidP="008048CA">
            <w:pPr>
              <w:pStyle w:val="Default"/>
              <w:rPr>
                <w:color w:val="auto"/>
              </w:rPr>
            </w:pPr>
          </w:p>
        </w:tc>
      </w:tr>
      <w:tr w:rsidR="003A49F4" w:rsidRPr="00527E0C" w:rsidTr="00837CC1">
        <w:tc>
          <w:tcPr>
            <w:tcW w:w="808" w:type="dxa"/>
          </w:tcPr>
          <w:p w:rsidR="003A49F4" w:rsidRPr="00527E0C" w:rsidRDefault="003A49F4" w:rsidP="008048CA">
            <w:pPr>
              <w:rPr>
                <w:b/>
              </w:rPr>
            </w:pPr>
          </w:p>
        </w:tc>
        <w:tc>
          <w:tcPr>
            <w:tcW w:w="8543" w:type="dxa"/>
          </w:tcPr>
          <w:p w:rsidR="003A49F4" w:rsidRPr="00527E0C" w:rsidRDefault="003A49F4" w:rsidP="008048CA">
            <w:pPr>
              <w:pStyle w:val="Default"/>
              <w:rPr>
                <w:color w:val="auto"/>
              </w:rPr>
            </w:pPr>
            <w:r w:rsidRPr="00527E0C">
              <w:rPr>
                <w:color w:val="auto"/>
              </w:rPr>
              <w:t>This policy should also be read in conjunction with the Information Governance Handbook which provides guidance for staff on information governance compliance.</w:t>
            </w:r>
          </w:p>
        </w:tc>
      </w:tr>
    </w:tbl>
    <w:p w:rsidR="00512755" w:rsidRPr="00527E0C" w:rsidRDefault="00512755">
      <w:pPr>
        <w:rPr>
          <w:sz w:val="22"/>
          <w:szCs w:val="22"/>
        </w:rPr>
      </w:pPr>
    </w:p>
    <w:sectPr w:rsidR="00512755" w:rsidRPr="00527E0C" w:rsidSect="005617A0">
      <w:headerReference w:type="even" r:id="rId13"/>
      <w:headerReference w:type="default" r:id="rId14"/>
      <w:footerReference w:type="even" r:id="rId15"/>
      <w:footerReference w:type="default" r:id="rId16"/>
      <w:headerReference w:type="first" r:id="rId17"/>
      <w:footerReference w:type="first" r:id="rId18"/>
      <w:pgSz w:w="11907" w:h="16839" w:code="9"/>
      <w:pgMar w:top="907" w:right="1474" w:bottom="1531" w:left="147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330" w:rsidRDefault="006B4330">
      <w:r>
        <w:separator/>
      </w:r>
    </w:p>
  </w:endnote>
  <w:endnote w:type="continuationSeparator" w:id="0">
    <w:p w:rsidR="006B4330" w:rsidRDefault="006B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52" w:rsidRDefault="00EA0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539756"/>
      <w:docPartObj>
        <w:docPartGallery w:val="Page Numbers (Bottom of Page)"/>
        <w:docPartUnique/>
      </w:docPartObj>
    </w:sdtPr>
    <w:sdtEndPr/>
    <w:sdtContent>
      <w:sdt>
        <w:sdtPr>
          <w:id w:val="-1669238322"/>
          <w:docPartObj>
            <w:docPartGallery w:val="Page Numbers (Top of Page)"/>
            <w:docPartUnique/>
          </w:docPartObj>
        </w:sdtPr>
        <w:sdtEndPr/>
        <w:sdtContent>
          <w:p w:rsidR="00287C0B" w:rsidRDefault="00287C0B">
            <w:pPr>
              <w:pStyle w:val="Footer"/>
              <w:jc w:val="center"/>
            </w:pPr>
            <w:r w:rsidRPr="001326EA">
              <w:rPr>
                <w:rFonts w:asciiTheme="minorHAnsi" w:hAnsiTheme="minorHAnsi"/>
                <w:sz w:val="22"/>
              </w:rPr>
              <w:t xml:space="preserve">Page </w:t>
            </w:r>
            <w:r w:rsidRPr="001326EA">
              <w:rPr>
                <w:rFonts w:asciiTheme="minorHAnsi" w:hAnsiTheme="minorHAnsi"/>
                <w:bCs/>
                <w:sz w:val="22"/>
              </w:rPr>
              <w:fldChar w:fldCharType="begin"/>
            </w:r>
            <w:r w:rsidRPr="001326EA">
              <w:rPr>
                <w:rFonts w:asciiTheme="minorHAnsi" w:hAnsiTheme="minorHAnsi"/>
                <w:bCs/>
                <w:sz w:val="22"/>
              </w:rPr>
              <w:instrText xml:space="preserve"> PAGE </w:instrText>
            </w:r>
            <w:r w:rsidRPr="001326EA">
              <w:rPr>
                <w:rFonts w:asciiTheme="minorHAnsi" w:hAnsiTheme="minorHAnsi"/>
                <w:bCs/>
                <w:sz w:val="22"/>
              </w:rPr>
              <w:fldChar w:fldCharType="separate"/>
            </w:r>
            <w:r w:rsidR="00314845">
              <w:rPr>
                <w:rFonts w:asciiTheme="minorHAnsi" w:hAnsiTheme="minorHAnsi"/>
                <w:bCs/>
                <w:noProof/>
                <w:sz w:val="22"/>
              </w:rPr>
              <w:t>2</w:t>
            </w:r>
            <w:r w:rsidRPr="001326EA">
              <w:rPr>
                <w:rFonts w:asciiTheme="minorHAnsi" w:hAnsiTheme="minorHAnsi"/>
                <w:bCs/>
                <w:sz w:val="22"/>
              </w:rPr>
              <w:fldChar w:fldCharType="end"/>
            </w:r>
            <w:r w:rsidRPr="001326EA">
              <w:rPr>
                <w:rFonts w:asciiTheme="minorHAnsi" w:hAnsiTheme="minorHAnsi"/>
                <w:sz w:val="22"/>
              </w:rPr>
              <w:t xml:space="preserve"> of </w:t>
            </w:r>
            <w:r w:rsidRPr="001326EA">
              <w:rPr>
                <w:rFonts w:asciiTheme="minorHAnsi" w:hAnsiTheme="minorHAnsi"/>
                <w:bCs/>
                <w:sz w:val="22"/>
              </w:rPr>
              <w:fldChar w:fldCharType="begin"/>
            </w:r>
            <w:r w:rsidRPr="001326EA">
              <w:rPr>
                <w:rFonts w:asciiTheme="minorHAnsi" w:hAnsiTheme="minorHAnsi"/>
                <w:bCs/>
                <w:sz w:val="22"/>
              </w:rPr>
              <w:instrText xml:space="preserve"> NUMPAGES  </w:instrText>
            </w:r>
            <w:r w:rsidRPr="001326EA">
              <w:rPr>
                <w:rFonts w:asciiTheme="minorHAnsi" w:hAnsiTheme="minorHAnsi"/>
                <w:bCs/>
                <w:sz w:val="22"/>
              </w:rPr>
              <w:fldChar w:fldCharType="separate"/>
            </w:r>
            <w:r w:rsidR="00314845">
              <w:rPr>
                <w:rFonts w:asciiTheme="minorHAnsi" w:hAnsiTheme="minorHAnsi"/>
                <w:bCs/>
                <w:noProof/>
                <w:sz w:val="22"/>
              </w:rPr>
              <w:t>22</w:t>
            </w:r>
            <w:r w:rsidRPr="001326EA">
              <w:rPr>
                <w:rFonts w:asciiTheme="minorHAnsi" w:hAnsiTheme="minorHAnsi"/>
                <w:bCs/>
                <w:sz w:val="22"/>
              </w:rPr>
              <w:fldChar w:fldCharType="end"/>
            </w:r>
          </w:p>
        </w:sdtContent>
      </w:sdt>
    </w:sdtContent>
  </w:sdt>
  <w:p w:rsidR="00287C0B" w:rsidRPr="00782AE6" w:rsidRDefault="00287C0B" w:rsidP="00782A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52" w:rsidRDefault="00EA0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330" w:rsidRDefault="006B4330">
      <w:r>
        <w:separator/>
      </w:r>
    </w:p>
  </w:footnote>
  <w:footnote w:type="continuationSeparator" w:id="0">
    <w:p w:rsidR="006B4330" w:rsidRDefault="006B4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52" w:rsidRDefault="00EA0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52" w:rsidRDefault="00EA0E52" w:rsidP="00EA0E52">
    <w:pPr>
      <w:pStyle w:val="Header"/>
      <w:jc w:val="right"/>
    </w:pPr>
    <w:r>
      <w:rPr>
        <w:noProof/>
        <w:lang w:eastAsia="en-GB"/>
      </w:rPr>
      <w:drawing>
        <wp:inline distT="0" distB="0" distL="0" distR="0" wp14:anchorId="4FC2D74A" wp14:editId="00CA11B8">
          <wp:extent cx="895350" cy="1057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123" cy="1059338"/>
                  </a:xfrm>
                  <a:prstGeom prst="rect">
                    <a:avLst/>
                  </a:prstGeom>
                  <a:noFill/>
                </pic:spPr>
              </pic:pic>
            </a:graphicData>
          </a:graphic>
        </wp:inline>
      </w:drawing>
    </w:r>
    <w:bookmarkStart w:id="45" w:name="_GoBack"/>
    <w:bookmarkEnd w:id="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52" w:rsidRDefault="00EA0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203"/>
    <w:multiLevelType w:val="multilevel"/>
    <w:tmpl w:val="640C95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46C46FB"/>
    <w:multiLevelType w:val="hybridMultilevel"/>
    <w:tmpl w:val="B9708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BE60A0"/>
    <w:multiLevelType w:val="hybridMultilevel"/>
    <w:tmpl w:val="3E047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2954F3"/>
    <w:multiLevelType w:val="hybridMultilevel"/>
    <w:tmpl w:val="8370E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C83FBC"/>
    <w:multiLevelType w:val="hybridMultilevel"/>
    <w:tmpl w:val="1490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A3B79"/>
    <w:multiLevelType w:val="hybridMultilevel"/>
    <w:tmpl w:val="9FE6AF30"/>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6">
    <w:nsid w:val="24B038F1"/>
    <w:multiLevelType w:val="hybridMultilevel"/>
    <w:tmpl w:val="4AAC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082869"/>
    <w:multiLevelType w:val="hybridMultilevel"/>
    <w:tmpl w:val="00262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914A09"/>
    <w:multiLevelType w:val="multilevel"/>
    <w:tmpl w:val="640C95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DBF302C"/>
    <w:multiLevelType w:val="hybridMultilevel"/>
    <w:tmpl w:val="9ED85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FA6AE9"/>
    <w:multiLevelType w:val="hybridMultilevel"/>
    <w:tmpl w:val="8B8E4082"/>
    <w:lvl w:ilvl="0" w:tplc="08090001">
      <w:start w:val="1"/>
      <w:numFmt w:val="bullet"/>
      <w:lvlText w:val=""/>
      <w:lvlJc w:val="left"/>
      <w:pPr>
        <w:ind w:left="76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6BA68F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543E6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C6E1A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B41B3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F8165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9AC2D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B8158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CC41A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35216F27"/>
    <w:multiLevelType w:val="multilevel"/>
    <w:tmpl w:val="A98288E6"/>
    <w:lvl w:ilvl="0">
      <w:start w:val="8"/>
      <w:numFmt w:val="decimal"/>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start w:val="1"/>
      <w:numFmt w:val="decimal"/>
      <w:lvlText w:val="%3."/>
      <w:lvlJc w:val="left"/>
      <w:pPr>
        <w:tabs>
          <w:tab w:val="num" w:pos="2367"/>
        </w:tabs>
        <w:ind w:left="2367" w:hanging="360"/>
      </w:pPr>
      <w:rPr>
        <w:rFonts w:hint="default"/>
      </w:rPr>
    </w:lvl>
    <w:lvl w:ilvl="3">
      <w:start w:val="1"/>
      <w:numFmt w:val="decimal"/>
      <w:lvlText w:val="%4."/>
      <w:lvlJc w:val="left"/>
      <w:pPr>
        <w:tabs>
          <w:tab w:val="num" w:pos="3087"/>
        </w:tabs>
        <w:ind w:left="3087" w:hanging="360"/>
      </w:pPr>
      <w:rPr>
        <w:rFonts w:hint="default"/>
      </w:rPr>
    </w:lvl>
    <w:lvl w:ilvl="4">
      <w:start w:val="1"/>
      <w:numFmt w:val="decimal"/>
      <w:lvlText w:val="%5."/>
      <w:lvlJc w:val="left"/>
      <w:pPr>
        <w:tabs>
          <w:tab w:val="num" w:pos="3807"/>
        </w:tabs>
        <w:ind w:left="3807" w:hanging="360"/>
      </w:pPr>
      <w:rPr>
        <w:rFonts w:hint="default"/>
      </w:rPr>
    </w:lvl>
    <w:lvl w:ilvl="5">
      <w:start w:val="1"/>
      <w:numFmt w:val="decimal"/>
      <w:lvlText w:val="%6."/>
      <w:lvlJc w:val="left"/>
      <w:pPr>
        <w:tabs>
          <w:tab w:val="num" w:pos="4527"/>
        </w:tabs>
        <w:ind w:left="4527" w:hanging="360"/>
      </w:pPr>
      <w:rPr>
        <w:rFonts w:hint="default"/>
      </w:rPr>
    </w:lvl>
    <w:lvl w:ilvl="6">
      <w:start w:val="1"/>
      <w:numFmt w:val="decimal"/>
      <w:lvlText w:val="%7."/>
      <w:lvlJc w:val="left"/>
      <w:pPr>
        <w:tabs>
          <w:tab w:val="num" w:pos="5247"/>
        </w:tabs>
        <w:ind w:left="5247" w:hanging="360"/>
      </w:pPr>
      <w:rPr>
        <w:rFonts w:hint="default"/>
      </w:rPr>
    </w:lvl>
    <w:lvl w:ilvl="7">
      <w:start w:val="1"/>
      <w:numFmt w:val="decimal"/>
      <w:lvlText w:val="%8."/>
      <w:lvlJc w:val="left"/>
      <w:pPr>
        <w:tabs>
          <w:tab w:val="num" w:pos="5967"/>
        </w:tabs>
        <w:ind w:left="5967" w:hanging="360"/>
      </w:pPr>
      <w:rPr>
        <w:rFonts w:hint="default"/>
      </w:rPr>
    </w:lvl>
    <w:lvl w:ilvl="8">
      <w:start w:val="1"/>
      <w:numFmt w:val="decimal"/>
      <w:lvlText w:val="%9."/>
      <w:lvlJc w:val="left"/>
      <w:pPr>
        <w:tabs>
          <w:tab w:val="num" w:pos="6687"/>
        </w:tabs>
        <w:ind w:left="6687" w:hanging="360"/>
      </w:pPr>
      <w:rPr>
        <w:rFonts w:hint="default"/>
      </w:rPr>
    </w:lvl>
  </w:abstractNum>
  <w:abstractNum w:abstractNumId="12">
    <w:nsid w:val="38930F43"/>
    <w:multiLevelType w:val="multilevel"/>
    <w:tmpl w:val="60D2F096"/>
    <w:styleLink w:val="LFO20"/>
    <w:lvl w:ilvl="0">
      <w:start w:val="22"/>
      <w:numFmt w:val="decimal"/>
      <w:pStyle w:val="NumberedBold"/>
      <w:lvlText w:val="%1."/>
      <w:lvlJc w:val="left"/>
      <w:pPr>
        <w:ind w:left="340" w:hanging="340"/>
      </w:pPr>
      <w:rPr>
        <w:rFonts w:ascii="Arial" w:hAnsi="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98143A9"/>
    <w:multiLevelType w:val="hybridMultilevel"/>
    <w:tmpl w:val="FE28F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481D3F"/>
    <w:multiLevelType w:val="hybridMultilevel"/>
    <w:tmpl w:val="7D92D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C00DB4"/>
    <w:multiLevelType w:val="multilevel"/>
    <w:tmpl w:val="ADE6CA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B531C09"/>
    <w:multiLevelType w:val="hybridMultilevel"/>
    <w:tmpl w:val="588E9606"/>
    <w:lvl w:ilvl="0" w:tplc="E9BC7EB6">
      <w:start w:val="1"/>
      <w:numFmt w:val="lowerLetter"/>
      <w:lvlText w:val="(%1)"/>
      <w:lvlJc w:val="left"/>
      <w:pPr>
        <w:ind w:left="720" w:hanging="360"/>
      </w:pPr>
      <w:rPr>
        <w:rFonts w:hint="default"/>
      </w:rPr>
    </w:lvl>
    <w:lvl w:ilvl="1" w:tplc="C9C4E8E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066FD0"/>
    <w:multiLevelType w:val="hybridMultilevel"/>
    <w:tmpl w:val="89E6B9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CF71B3"/>
    <w:multiLevelType w:val="hybridMultilevel"/>
    <w:tmpl w:val="F872C7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425E569D"/>
    <w:multiLevelType w:val="hybridMultilevel"/>
    <w:tmpl w:val="20302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5725DEA"/>
    <w:multiLevelType w:val="hybridMultilevel"/>
    <w:tmpl w:val="6B7E3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9231768"/>
    <w:multiLevelType w:val="hybridMultilevel"/>
    <w:tmpl w:val="0E8C4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B2D5371"/>
    <w:multiLevelType w:val="hybridMultilevel"/>
    <w:tmpl w:val="C1100A36"/>
    <w:lvl w:ilvl="0" w:tplc="DCD2FE7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286CB2"/>
    <w:multiLevelType w:val="hybridMultilevel"/>
    <w:tmpl w:val="1AEC1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ECB0C38"/>
    <w:multiLevelType w:val="multilevel"/>
    <w:tmpl w:val="AB16184C"/>
    <w:lvl w:ilvl="0">
      <w:start w:val="6"/>
      <w:numFmt w:val="decimal"/>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start w:val="1"/>
      <w:numFmt w:val="decimal"/>
      <w:lvlText w:val="%3."/>
      <w:lvlJc w:val="left"/>
      <w:pPr>
        <w:tabs>
          <w:tab w:val="num" w:pos="2367"/>
        </w:tabs>
        <w:ind w:left="2367" w:hanging="360"/>
      </w:pPr>
      <w:rPr>
        <w:rFonts w:hint="default"/>
      </w:rPr>
    </w:lvl>
    <w:lvl w:ilvl="3">
      <w:start w:val="1"/>
      <w:numFmt w:val="decimal"/>
      <w:lvlText w:val="%4."/>
      <w:lvlJc w:val="left"/>
      <w:pPr>
        <w:tabs>
          <w:tab w:val="num" w:pos="3087"/>
        </w:tabs>
        <w:ind w:left="3087" w:hanging="360"/>
      </w:pPr>
      <w:rPr>
        <w:rFonts w:hint="default"/>
      </w:rPr>
    </w:lvl>
    <w:lvl w:ilvl="4">
      <w:start w:val="1"/>
      <w:numFmt w:val="decimal"/>
      <w:lvlText w:val="%5."/>
      <w:lvlJc w:val="left"/>
      <w:pPr>
        <w:tabs>
          <w:tab w:val="num" w:pos="3807"/>
        </w:tabs>
        <w:ind w:left="3807" w:hanging="360"/>
      </w:pPr>
      <w:rPr>
        <w:rFonts w:hint="default"/>
      </w:rPr>
    </w:lvl>
    <w:lvl w:ilvl="5">
      <w:start w:val="1"/>
      <w:numFmt w:val="decimal"/>
      <w:lvlText w:val="%6."/>
      <w:lvlJc w:val="left"/>
      <w:pPr>
        <w:tabs>
          <w:tab w:val="num" w:pos="4527"/>
        </w:tabs>
        <w:ind w:left="4527" w:hanging="360"/>
      </w:pPr>
      <w:rPr>
        <w:rFonts w:hint="default"/>
      </w:rPr>
    </w:lvl>
    <w:lvl w:ilvl="6">
      <w:start w:val="1"/>
      <w:numFmt w:val="decimal"/>
      <w:lvlText w:val="%7."/>
      <w:lvlJc w:val="left"/>
      <w:pPr>
        <w:tabs>
          <w:tab w:val="num" w:pos="5247"/>
        </w:tabs>
        <w:ind w:left="5247" w:hanging="360"/>
      </w:pPr>
      <w:rPr>
        <w:rFonts w:hint="default"/>
      </w:rPr>
    </w:lvl>
    <w:lvl w:ilvl="7">
      <w:start w:val="1"/>
      <w:numFmt w:val="decimal"/>
      <w:lvlText w:val="%8."/>
      <w:lvlJc w:val="left"/>
      <w:pPr>
        <w:tabs>
          <w:tab w:val="num" w:pos="5967"/>
        </w:tabs>
        <w:ind w:left="5967" w:hanging="360"/>
      </w:pPr>
      <w:rPr>
        <w:rFonts w:hint="default"/>
      </w:rPr>
    </w:lvl>
    <w:lvl w:ilvl="8">
      <w:start w:val="1"/>
      <w:numFmt w:val="decimal"/>
      <w:lvlText w:val="%9."/>
      <w:lvlJc w:val="left"/>
      <w:pPr>
        <w:tabs>
          <w:tab w:val="num" w:pos="6687"/>
        </w:tabs>
        <w:ind w:left="6687" w:hanging="360"/>
      </w:pPr>
      <w:rPr>
        <w:rFonts w:hint="default"/>
      </w:rPr>
    </w:lvl>
  </w:abstractNum>
  <w:abstractNum w:abstractNumId="25">
    <w:nsid w:val="576E688A"/>
    <w:multiLevelType w:val="hybridMultilevel"/>
    <w:tmpl w:val="A63CE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A51A4F"/>
    <w:multiLevelType w:val="hybridMultilevel"/>
    <w:tmpl w:val="23305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0B7EB4"/>
    <w:multiLevelType w:val="multilevel"/>
    <w:tmpl w:val="F44EDB58"/>
    <w:lvl w:ilvl="0">
      <w:start w:val="1"/>
      <w:numFmt w:val="decimal"/>
      <w:lvlText w:val="%1."/>
      <w:lvlJc w:val="left"/>
      <w:pPr>
        <w:ind w:left="900" w:hanging="360"/>
      </w:pPr>
      <w:rPr>
        <w:rFonts w:hint="default"/>
      </w:rPr>
    </w:lvl>
    <w:lvl w:ilvl="1">
      <w:start w:val="2"/>
      <w:numFmt w:val="decimal"/>
      <w:isLgl/>
      <w:lvlText w:val="%1.%2"/>
      <w:lvlJc w:val="left"/>
      <w:pPr>
        <w:ind w:left="945" w:hanging="4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8">
    <w:nsid w:val="5B690352"/>
    <w:multiLevelType w:val="hybridMultilevel"/>
    <w:tmpl w:val="0E02C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1431AF8"/>
    <w:multiLevelType w:val="hybridMultilevel"/>
    <w:tmpl w:val="AE160D5E"/>
    <w:lvl w:ilvl="0" w:tplc="0809000F">
      <w:start w:val="1"/>
      <w:numFmt w:val="decimal"/>
      <w:lvlText w:val="%1."/>
      <w:lvlJc w:val="left"/>
      <w:pPr>
        <w:ind w:left="360" w:hanging="360"/>
      </w:pPr>
      <w:rPr>
        <w:rFonts w:hint="default"/>
      </w:rPr>
    </w:lvl>
    <w:lvl w:ilvl="1" w:tplc="C9C4E8EE">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2D55ADE"/>
    <w:multiLevelType w:val="hybridMultilevel"/>
    <w:tmpl w:val="835CE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0A3E76"/>
    <w:multiLevelType w:val="hybridMultilevel"/>
    <w:tmpl w:val="10B67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6F30911"/>
    <w:multiLevelType w:val="hybridMultilevel"/>
    <w:tmpl w:val="03A084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nsid w:val="77BB0CC2"/>
    <w:multiLevelType w:val="hybridMultilevel"/>
    <w:tmpl w:val="2C38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DC020C"/>
    <w:multiLevelType w:val="hybridMultilevel"/>
    <w:tmpl w:val="86642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3"/>
  </w:num>
  <w:num w:numId="3">
    <w:abstractNumId w:val="27"/>
  </w:num>
  <w:num w:numId="4">
    <w:abstractNumId w:val="0"/>
  </w:num>
  <w:num w:numId="5">
    <w:abstractNumId w:val="15"/>
  </w:num>
  <w:num w:numId="6">
    <w:abstractNumId w:val="26"/>
  </w:num>
  <w:num w:numId="7">
    <w:abstractNumId w:val="4"/>
  </w:num>
  <w:num w:numId="8">
    <w:abstractNumId w:val="12"/>
  </w:num>
  <w:num w:numId="9">
    <w:abstractNumId w:val="33"/>
  </w:num>
  <w:num w:numId="10">
    <w:abstractNumId w:val="6"/>
  </w:num>
  <w:num w:numId="11">
    <w:abstractNumId w:val="10"/>
  </w:num>
  <w:num w:numId="12">
    <w:abstractNumId w:val="21"/>
  </w:num>
  <w:num w:numId="13">
    <w:abstractNumId w:val="32"/>
  </w:num>
  <w:num w:numId="14">
    <w:abstractNumId w:val="5"/>
  </w:num>
  <w:num w:numId="15">
    <w:abstractNumId w:val="9"/>
  </w:num>
  <w:num w:numId="16">
    <w:abstractNumId w:val="25"/>
  </w:num>
  <w:num w:numId="17">
    <w:abstractNumId w:val="31"/>
  </w:num>
  <w:num w:numId="18">
    <w:abstractNumId w:val="28"/>
  </w:num>
  <w:num w:numId="19">
    <w:abstractNumId w:val="14"/>
  </w:num>
  <w:num w:numId="20">
    <w:abstractNumId w:val="13"/>
  </w:num>
  <w:num w:numId="21">
    <w:abstractNumId w:val="2"/>
  </w:num>
  <w:num w:numId="22">
    <w:abstractNumId w:val="1"/>
  </w:num>
  <w:num w:numId="23">
    <w:abstractNumId w:val="24"/>
  </w:num>
  <w:num w:numId="24">
    <w:abstractNumId w:val="19"/>
  </w:num>
  <w:num w:numId="25">
    <w:abstractNumId w:val="34"/>
  </w:num>
  <w:num w:numId="26">
    <w:abstractNumId w:val="16"/>
  </w:num>
  <w:num w:numId="27">
    <w:abstractNumId w:val="8"/>
  </w:num>
  <w:num w:numId="28">
    <w:abstractNumId w:val="29"/>
  </w:num>
  <w:num w:numId="29">
    <w:abstractNumId w:val="30"/>
  </w:num>
  <w:num w:numId="30">
    <w:abstractNumId w:val="20"/>
  </w:num>
  <w:num w:numId="31">
    <w:abstractNumId w:val="3"/>
  </w:num>
  <w:num w:numId="32">
    <w:abstractNumId w:val="7"/>
  </w:num>
  <w:num w:numId="33">
    <w:abstractNumId w:val="17"/>
  </w:num>
  <w:num w:numId="34">
    <w:abstractNumId w:val="22"/>
  </w:num>
  <w:num w:numId="35">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13"/>
    <w:rsid w:val="00000143"/>
    <w:rsid w:val="00003105"/>
    <w:rsid w:val="0000628E"/>
    <w:rsid w:val="00007137"/>
    <w:rsid w:val="000168B2"/>
    <w:rsid w:val="000176F9"/>
    <w:rsid w:val="00023EED"/>
    <w:rsid w:val="00025607"/>
    <w:rsid w:val="00025B5F"/>
    <w:rsid w:val="00027151"/>
    <w:rsid w:val="00027646"/>
    <w:rsid w:val="00030306"/>
    <w:rsid w:val="00030AF1"/>
    <w:rsid w:val="000312BC"/>
    <w:rsid w:val="00032F64"/>
    <w:rsid w:val="000339DF"/>
    <w:rsid w:val="000353BD"/>
    <w:rsid w:val="00037EDF"/>
    <w:rsid w:val="0004481D"/>
    <w:rsid w:val="00047518"/>
    <w:rsid w:val="00050F85"/>
    <w:rsid w:val="000570B4"/>
    <w:rsid w:val="000577E9"/>
    <w:rsid w:val="00062312"/>
    <w:rsid w:val="00062CA7"/>
    <w:rsid w:val="0006477C"/>
    <w:rsid w:val="00075176"/>
    <w:rsid w:val="000851EA"/>
    <w:rsid w:val="0009073A"/>
    <w:rsid w:val="000914E8"/>
    <w:rsid w:val="0009276A"/>
    <w:rsid w:val="000946DB"/>
    <w:rsid w:val="00094A75"/>
    <w:rsid w:val="0009555F"/>
    <w:rsid w:val="0009678C"/>
    <w:rsid w:val="000B242B"/>
    <w:rsid w:val="000B36F7"/>
    <w:rsid w:val="000B5941"/>
    <w:rsid w:val="000B5BBD"/>
    <w:rsid w:val="000B76DA"/>
    <w:rsid w:val="000C0EA0"/>
    <w:rsid w:val="000C4914"/>
    <w:rsid w:val="000C5300"/>
    <w:rsid w:val="000D2308"/>
    <w:rsid w:val="000D4EA3"/>
    <w:rsid w:val="000D7CA3"/>
    <w:rsid w:val="000E12D9"/>
    <w:rsid w:val="000E1EF0"/>
    <w:rsid w:val="000E26E7"/>
    <w:rsid w:val="000E2E0D"/>
    <w:rsid w:val="000E3B62"/>
    <w:rsid w:val="000E61BD"/>
    <w:rsid w:val="000E6ECE"/>
    <w:rsid w:val="000F0D53"/>
    <w:rsid w:val="000F46D5"/>
    <w:rsid w:val="000F55E3"/>
    <w:rsid w:val="00102A68"/>
    <w:rsid w:val="00102E9B"/>
    <w:rsid w:val="0010364C"/>
    <w:rsid w:val="00106B3F"/>
    <w:rsid w:val="001077C5"/>
    <w:rsid w:val="00107D7F"/>
    <w:rsid w:val="00112D64"/>
    <w:rsid w:val="00115A5F"/>
    <w:rsid w:val="00120F60"/>
    <w:rsid w:val="00122F44"/>
    <w:rsid w:val="00124D15"/>
    <w:rsid w:val="001251BC"/>
    <w:rsid w:val="001254D3"/>
    <w:rsid w:val="00127808"/>
    <w:rsid w:val="00130B0A"/>
    <w:rsid w:val="001315D6"/>
    <w:rsid w:val="001326EA"/>
    <w:rsid w:val="00140C3D"/>
    <w:rsid w:val="001410F1"/>
    <w:rsid w:val="001421D1"/>
    <w:rsid w:val="001422F8"/>
    <w:rsid w:val="00142A47"/>
    <w:rsid w:val="001469DE"/>
    <w:rsid w:val="0015780E"/>
    <w:rsid w:val="0016148A"/>
    <w:rsid w:val="00166572"/>
    <w:rsid w:val="0017354C"/>
    <w:rsid w:val="00174595"/>
    <w:rsid w:val="0017463D"/>
    <w:rsid w:val="001750B4"/>
    <w:rsid w:val="001760AC"/>
    <w:rsid w:val="00177023"/>
    <w:rsid w:val="00177FE5"/>
    <w:rsid w:val="00181481"/>
    <w:rsid w:val="00183FE2"/>
    <w:rsid w:val="00196087"/>
    <w:rsid w:val="001970D5"/>
    <w:rsid w:val="00197516"/>
    <w:rsid w:val="001A0B36"/>
    <w:rsid w:val="001A1D8C"/>
    <w:rsid w:val="001A2832"/>
    <w:rsid w:val="001A5DD1"/>
    <w:rsid w:val="001A674C"/>
    <w:rsid w:val="001B3968"/>
    <w:rsid w:val="001B59AD"/>
    <w:rsid w:val="001C371B"/>
    <w:rsid w:val="001C38A4"/>
    <w:rsid w:val="001D0C26"/>
    <w:rsid w:val="001E2712"/>
    <w:rsid w:val="001E2775"/>
    <w:rsid w:val="001E468A"/>
    <w:rsid w:val="001E64DB"/>
    <w:rsid w:val="001E769E"/>
    <w:rsid w:val="001F1CBE"/>
    <w:rsid w:val="001F2DC2"/>
    <w:rsid w:val="00200F17"/>
    <w:rsid w:val="00201F52"/>
    <w:rsid w:val="002102FA"/>
    <w:rsid w:val="002130CC"/>
    <w:rsid w:val="00214269"/>
    <w:rsid w:val="00222F99"/>
    <w:rsid w:val="00225DCF"/>
    <w:rsid w:val="00231190"/>
    <w:rsid w:val="002312A9"/>
    <w:rsid w:val="00232136"/>
    <w:rsid w:val="00233A14"/>
    <w:rsid w:val="002342AF"/>
    <w:rsid w:val="002359C2"/>
    <w:rsid w:val="002424C7"/>
    <w:rsid w:val="0024460F"/>
    <w:rsid w:val="00245E70"/>
    <w:rsid w:val="002466AA"/>
    <w:rsid w:val="00254074"/>
    <w:rsid w:val="00257714"/>
    <w:rsid w:val="00257EC5"/>
    <w:rsid w:val="002625D4"/>
    <w:rsid w:val="0026446D"/>
    <w:rsid w:val="00270B29"/>
    <w:rsid w:val="00287C0B"/>
    <w:rsid w:val="002911AF"/>
    <w:rsid w:val="00294C97"/>
    <w:rsid w:val="00296777"/>
    <w:rsid w:val="002A11C7"/>
    <w:rsid w:val="002A2D96"/>
    <w:rsid w:val="002A6E7E"/>
    <w:rsid w:val="002A7D5C"/>
    <w:rsid w:val="002B0EA1"/>
    <w:rsid w:val="002B612C"/>
    <w:rsid w:val="002B788C"/>
    <w:rsid w:val="002C0622"/>
    <w:rsid w:val="002C0B47"/>
    <w:rsid w:val="002C4B77"/>
    <w:rsid w:val="002C57BB"/>
    <w:rsid w:val="002C5ABB"/>
    <w:rsid w:val="002C7405"/>
    <w:rsid w:val="002D0792"/>
    <w:rsid w:val="002D2577"/>
    <w:rsid w:val="002D7473"/>
    <w:rsid w:val="002D762E"/>
    <w:rsid w:val="002E3A43"/>
    <w:rsid w:val="002F4834"/>
    <w:rsid w:val="002F76C6"/>
    <w:rsid w:val="002F7E66"/>
    <w:rsid w:val="00300A9C"/>
    <w:rsid w:val="00300ACE"/>
    <w:rsid w:val="00311A76"/>
    <w:rsid w:val="00311C0B"/>
    <w:rsid w:val="00312F2A"/>
    <w:rsid w:val="00314845"/>
    <w:rsid w:val="00320AC2"/>
    <w:rsid w:val="003247AE"/>
    <w:rsid w:val="00324BD6"/>
    <w:rsid w:val="00326239"/>
    <w:rsid w:val="003304EC"/>
    <w:rsid w:val="00330D10"/>
    <w:rsid w:val="00332093"/>
    <w:rsid w:val="0033330B"/>
    <w:rsid w:val="0033463E"/>
    <w:rsid w:val="00337C06"/>
    <w:rsid w:val="00345B50"/>
    <w:rsid w:val="00351443"/>
    <w:rsid w:val="00360E06"/>
    <w:rsid w:val="003674C9"/>
    <w:rsid w:val="0036793E"/>
    <w:rsid w:val="00371181"/>
    <w:rsid w:val="00372CBF"/>
    <w:rsid w:val="00376901"/>
    <w:rsid w:val="00377512"/>
    <w:rsid w:val="003807CD"/>
    <w:rsid w:val="003869DD"/>
    <w:rsid w:val="00390E52"/>
    <w:rsid w:val="00392293"/>
    <w:rsid w:val="003923EC"/>
    <w:rsid w:val="00397971"/>
    <w:rsid w:val="003A18C1"/>
    <w:rsid w:val="003A214D"/>
    <w:rsid w:val="003A2179"/>
    <w:rsid w:val="003A49F4"/>
    <w:rsid w:val="003C1507"/>
    <w:rsid w:val="003C16A6"/>
    <w:rsid w:val="003C520A"/>
    <w:rsid w:val="003C5BEC"/>
    <w:rsid w:val="003C6ED8"/>
    <w:rsid w:val="003D2071"/>
    <w:rsid w:val="003D37C0"/>
    <w:rsid w:val="003D37F2"/>
    <w:rsid w:val="003D3B60"/>
    <w:rsid w:val="003E0211"/>
    <w:rsid w:val="003E08A4"/>
    <w:rsid w:val="003E0CA2"/>
    <w:rsid w:val="0040321E"/>
    <w:rsid w:val="00404C42"/>
    <w:rsid w:val="00405B5C"/>
    <w:rsid w:val="0040635C"/>
    <w:rsid w:val="0041608A"/>
    <w:rsid w:val="0042014E"/>
    <w:rsid w:val="00431359"/>
    <w:rsid w:val="00433128"/>
    <w:rsid w:val="00442139"/>
    <w:rsid w:val="00446D76"/>
    <w:rsid w:val="00447CFF"/>
    <w:rsid w:val="00450108"/>
    <w:rsid w:val="00451CF7"/>
    <w:rsid w:val="00457659"/>
    <w:rsid w:val="00457EAC"/>
    <w:rsid w:val="00460D0C"/>
    <w:rsid w:val="00461397"/>
    <w:rsid w:val="004618F2"/>
    <w:rsid w:val="00464B8B"/>
    <w:rsid w:val="004655E4"/>
    <w:rsid w:val="00472574"/>
    <w:rsid w:val="00472BCA"/>
    <w:rsid w:val="00473DE1"/>
    <w:rsid w:val="00480027"/>
    <w:rsid w:val="004807B3"/>
    <w:rsid w:val="004835BB"/>
    <w:rsid w:val="004838C7"/>
    <w:rsid w:val="00484C39"/>
    <w:rsid w:val="00486617"/>
    <w:rsid w:val="00486A00"/>
    <w:rsid w:val="004928BC"/>
    <w:rsid w:val="004933B1"/>
    <w:rsid w:val="004A3903"/>
    <w:rsid w:val="004A5017"/>
    <w:rsid w:val="004C1FBD"/>
    <w:rsid w:val="004C5B0F"/>
    <w:rsid w:val="004C6F60"/>
    <w:rsid w:val="004D0BA1"/>
    <w:rsid w:val="004E3E2F"/>
    <w:rsid w:val="004F0012"/>
    <w:rsid w:val="004F38B4"/>
    <w:rsid w:val="004F655B"/>
    <w:rsid w:val="00500E73"/>
    <w:rsid w:val="00501CA1"/>
    <w:rsid w:val="0050321C"/>
    <w:rsid w:val="00504148"/>
    <w:rsid w:val="00506B07"/>
    <w:rsid w:val="00512755"/>
    <w:rsid w:val="00512D73"/>
    <w:rsid w:val="00513441"/>
    <w:rsid w:val="00521C64"/>
    <w:rsid w:val="0052373F"/>
    <w:rsid w:val="00525211"/>
    <w:rsid w:val="00527E0C"/>
    <w:rsid w:val="00530835"/>
    <w:rsid w:val="0053247F"/>
    <w:rsid w:val="0053284A"/>
    <w:rsid w:val="005367F3"/>
    <w:rsid w:val="00542990"/>
    <w:rsid w:val="00542B46"/>
    <w:rsid w:val="005432A4"/>
    <w:rsid w:val="005438E5"/>
    <w:rsid w:val="00547588"/>
    <w:rsid w:val="0055149D"/>
    <w:rsid w:val="0055448D"/>
    <w:rsid w:val="00556A7B"/>
    <w:rsid w:val="005617A0"/>
    <w:rsid w:val="00564BAB"/>
    <w:rsid w:val="00564DD4"/>
    <w:rsid w:val="0056676C"/>
    <w:rsid w:val="005667ED"/>
    <w:rsid w:val="0057667E"/>
    <w:rsid w:val="00577E16"/>
    <w:rsid w:val="00580561"/>
    <w:rsid w:val="00580812"/>
    <w:rsid w:val="005835E0"/>
    <w:rsid w:val="005864AC"/>
    <w:rsid w:val="00587700"/>
    <w:rsid w:val="00587E4A"/>
    <w:rsid w:val="005901CD"/>
    <w:rsid w:val="005907FB"/>
    <w:rsid w:val="00591989"/>
    <w:rsid w:val="0059243A"/>
    <w:rsid w:val="00594B86"/>
    <w:rsid w:val="00596112"/>
    <w:rsid w:val="00597B63"/>
    <w:rsid w:val="005A19C3"/>
    <w:rsid w:val="005A1C37"/>
    <w:rsid w:val="005A2C4D"/>
    <w:rsid w:val="005A561E"/>
    <w:rsid w:val="005A66EE"/>
    <w:rsid w:val="005A6DFB"/>
    <w:rsid w:val="005B42C5"/>
    <w:rsid w:val="005C4FAF"/>
    <w:rsid w:val="005D1C96"/>
    <w:rsid w:val="005D5468"/>
    <w:rsid w:val="005D6C5C"/>
    <w:rsid w:val="005D74C3"/>
    <w:rsid w:val="005E1C00"/>
    <w:rsid w:val="005E3191"/>
    <w:rsid w:val="005E38D1"/>
    <w:rsid w:val="005E3C08"/>
    <w:rsid w:val="005E6C8E"/>
    <w:rsid w:val="005F0157"/>
    <w:rsid w:val="005F39D4"/>
    <w:rsid w:val="005F5E51"/>
    <w:rsid w:val="00602F3A"/>
    <w:rsid w:val="00606611"/>
    <w:rsid w:val="00621C5A"/>
    <w:rsid w:val="00622556"/>
    <w:rsid w:val="0062502F"/>
    <w:rsid w:val="00626E1C"/>
    <w:rsid w:val="006311DD"/>
    <w:rsid w:val="00633644"/>
    <w:rsid w:val="00640B77"/>
    <w:rsid w:val="00640DB9"/>
    <w:rsid w:val="0064217D"/>
    <w:rsid w:val="0064434B"/>
    <w:rsid w:val="00646969"/>
    <w:rsid w:val="00651A20"/>
    <w:rsid w:val="0065429D"/>
    <w:rsid w:val="006547E7"/>
    <w:rsid w:val="00654B8C"/>
    <w:rsid w:val="00655068"/>
    <w:rsid w:val="006578CF"/>
    <w:rsid w:val="006615C9"/>
    <w:rsid w:val="00664919"/>
    <w:rsid w:val="00666D64"/>
    <w:rsid w:val="00677341"/>
    <w:rsid w:val="00681AF5"/>
    <w:rsid w:val="006831FE"/>
    <w:rsid w:val="00683737"/>
    <w:rsid w:val="006871F3"/>
    <w:rsid w:val="00687B11"/>
    <w:rsid w:val="00690E9D"/>
    <w:rsid w:val="00695A2E"/>
    <w:rsid w:val="00695EB8"/>
    <w:rsid w:val="006971AB"/>
    <w:rsid w:val="00697A9C"/>
    <w:rsid w:val="006A1616"/>
    <w:rsid w:val="006A3FDB"/>
    <w:rsid w:val="006A58EE"/>
    <w:rsid w:val="006A72E8"/>
    <w:rsid w:val="006B4330"/>
    <w:rsid w:val="006C0458"/>
    <w:rsid w:val="006C3904"/>
    <w:rsid w:val="006C466E"/>
    <w:rsid w:val="006C61B8"/>
    <w:rsid w:val="006C72B3"/>
    <w:rsid w:val="006D0DE0"/>
    <w:rsid w:val="006D6777"/>
    <w:rsid w:val="006D6CC6"/>
    <w:rsid w:val="006E4F7D"/>
    <w:rsid w:val="006E69FF"/>
    <w:rsid w:val="006F1F49"/>
    <w:rsid w:val="006F3B79"/>
    <w:rsid w:val="00704E52"/>
    <w:rsid w:val="007058A2"/>
    <w:rsid w:val="00705EEC"/>
    <w:rsid w:val="00711200"/>
    <w:rsid w:val="0071180B"/>
    <w:rsid w:val="00711935"/>
    <w:rsid w:val="007144A4"/>
    <w:rsid w:val="007214D9"/>
    <w:rsid w:val="0072193A"/>
    <w:rsid w:val="00723651"/>
    <w:rsid w:val="007241C4"/>
    <w:rsid w:val="0072480B"/>
    <w:rsid w:val="007322C2"/>
    <w:rsid w:val="00737FAA"/>
    <w:rsid w:val="00740413"/>
    <w:rsid w:val="00740F9B"/>
    <w:rsid w:val="00741395"/>
    <w:rsid w:val="00741F90"/>
    <w:rsid w:val="00742AB8"/>
    <w:rsid w:val="00743FEE"/>
    <w:rsid w:val="00752385"/>
    <w:rsid w:val="007539D3"/>
    <w:rsid w:val="007576BC"/>
    <w:rsid w:val="007627CA"/>
    <w:rsid w:val="007635F9"/>
    <w:rsid w:val="00764456"/>
    <w:rsid w:val="0077118E"/>
    <w:rsid w:val="00772C1F"/>
    <w:rsid w:val="007743A7"/>
    <w:rsid w:val="007754C0"/>
    <w:rsid w:val="0077565E"/>
    <w:rsid w:val="00782AE6"/>
    <w:rsid w:val="007904FB"/>
    <w:rsid w:val="00790A6F"/>
    <w:rsid w:val="007912EC"/>
    <w:rsid w:val="00793315"/>
    <w:rsid w:val="0079647B"/>
    <w:rsid w:val="007A011D"/>
    <w:rsid w:val="007A0F24"/>
    <w:rsid w:val="007A2960"/>
    <w:rsid w:val="007A2F31"/>
    <w:rsid w:val="007A56BD"/>
    <w:rsid w:val="007A5FD4"/>
    <w:rsid w:val="007A71D0"/>
    <w:rsid w:val="007C5FB8"/>
    <w:rsid w:val="007C72B8"/>
    <w:rsid w:val="007D2303"/>
    <w:rsid w:val="007D3287"/>
    <w:rsid w:val="007D4C52"/>
    <w:rsid w:val="007D60A7"/>
    <w:rsid w:val="007E1828"/>
    <w:rsid w:val="007E257D"/>
    <w:rsid w:val="007E528D"/>
    <w:rsid w:val="007E5505"/>
    <w:rsid w:val="007F1DAC"/>
    <w:rsid w:val="007F744A"/>
    <w:rsid w:val="00802027"/>
    <w:rsid w:val="00802DA6"/>
    <w:rsid w:val="0080361A"/>
    <w:rsid w:val="008048CA"/>
    <w:rsid w:val="008060C1"/>
    <w:rsid w:val="00813A02"/>
    <w:rsid w:val="00816152"/>
    <w:rsid w:val="008175D3"/>
    <w:rsid w:val="00820D93"/>
    <w:rsid w:val="00823BF2"/>
    <w:rsid w:val="0082418B"/>
    <w:rsid w:val="0083048B"/>
    <w:rsid w:val="008305DD"/>
    <w:rsid w:val="00837CC1"/>
    <w:rsid w:val="0084195B"/>
    <w:rsid w:val="008449CB"/>
    <w:rsid w:val="00857EAB"/>
    <w:rsid w:val="00857F5B"/>
    <w:rsid w:val="0086155F"/>
    <w:rsid w:val="00861B1E"/>
    <w:rsid w:val="008641BB"/>
    <w:rsid w:val="00867A01"/>
    <w:rsid w:val="00872BD9"/>
    <w:rsid w:val="008747E8"/>
    <w:rsid w:val="0088052D"/>
    <w:rsid w:val="00882355"/>
    <w:rsid w:val="008827D2"/>
    <w:rsid w:val="00884C71"/>
    <w:rsid w:val="00887694"/>
    <w:rsid w:val="00887F9D"/>
    <w:rsid w:val="00891354"/>
    <w:rsid w:val="00894B4A"/>
    <w:rsid w:val="0089667D"/>
    <w:rsid w:val="00897174"/>
    <w:rsid w:val="008A037A"/>
    <w:rsid w:val="008A05D0"/>
    <w:rsid w:val="008A1323"/>
    <w:rsid w:val="008A47C5"/>
    <w:rsid w:val="008B72A3"/>
    <w:rsid w:val="008C2419"/>
    <w:rsid w:val="008D2350"/>
    <w:rsid w:val="008D4FB9"/>
    <w:rsid w:val="008D77E0"/>
    <w:rsid w:val="008D7C1D"/>
    <w:rsid w:val="008E1E7B"/>
    <w:rsid w:val="008E24B1"/>
    <w:rsid w:val="008E7A0E"/>
    <w:rsid w:val="008F6E78"/>
    <w:rsid w:val="00900E0F"/>
    <w:rsid w:val="0090252D"/>
    <w:rsid w:val="0090279F"/>
    <w:rsid w:val="009035E3"/>
    <w:rsid w:val="0090754A"/>
    <w:rsid w:val="00907698"/>
    <w:rsid w:val="00907EEE"/>
    <w:rsid w:val="00910872"/>
    <w:rsid w:val="009132A9"/>
    <w:rsid w:val="00913518"/>
    <w:rsid w:val="00917CA1"/>
    <w:rsid w:val="00920223"/>
    <w:rsid w:val="0092210F"/>
    <w:rsid w:val="00925FE6"/>
    <w:rsid w:val="00927D9E"/>
    <w:rsid w:val="009302E1"/>
    <w:rsid w:val="00931DE4"/>
    <w:rsid w:val="00934CC6"/>
    <w:rsid w:val="00937882"/>
    <w:rsid w:val="009378A8"/>
    <w:rsid w:val="00940889"/>
    <w:rsid w:val="0094274D"/>
    <w:rsid w:val="00946820"/>
    <w:rsid w:val="009555D4"/>
    <w:rsid w:val="009608EB"/>
    <w:rsid w:val="00967BE2"/>
    <w:rsid w:val="00972BA5"/>
    <w:rsid w:val="009736CE"/>
    <w:rsid w:val="00976BC6"/>
    <w:rsid w:val="00976D94"/>
    <w:rsid w:val="00981AF5"/>
    <w:rsid w:val="00981E51"/>
    <w:rsid w:val="00982DD3"/>
    <w:rsid w:val="00985B06"/>
    <w:rsid w:val="00985BF1"/>
    <w:rsid w:val="00990E2F"/>
    <w:rsid w:val="00993727"/>
    <w:rsid w:val="00993943"/>
    <w:rsid w:val="00995AB9"/>
    <w:rsid w:val="00996E46"/>
    <w:rsid w:val="009A6315"/>
    <w:rsid w:val="009B36BB"/>
    <w:rsid w:val="009C301D"/>
    <w:rsid w:val="009C35C2"/>
    <w:rsid w:val="009D12F5"/>
    <w:rsid w:val="009D682B"/>
    <w:rsid w:val="009D7032"/>
    <w:rsid w:val="009D7532"/>
    <w:rsid w:val="009E7C0F"/>
    <w:rsid w:val="009F247E"/>
    <w:rsid w:val="009F4070"/>
    <w:rsid w:val="009F7E2C"/>
    <w:rsid w:val="00A077D5"/>
    <w:rsid w:val="00A07C2D"/>
    <w:rsid w:val="00A07CCC"/>
    <w:rsid w:val="00A30B45"/>
    <w:rsid w:val="00A37886"/>
    <w:rsid w:val="00A40022"/>
    <w:rsid w:val="00A43318"/>
    <w:rsid w:val="00A436D1"/>
    <w:rsid w:val="00A4387C"/>
    <w:rsid w:val="00A500AF"/>
    <w:rsid w:val="00A511FC"/>
    <w:rsid w:val="00A517A6"/>
    <w:rsid w:val="00A52E1D"/>
    <w:rsid w:val="00A53EBB"/>
    <w:rsid w:val="00A53FD1"/>
    <w:rsid w:val="00A5426E"/>
    <w:rsid w:val="00A57E2A"/>
    <w:rsid w:val="00A57EB1"/>
    <w:rsid w:val="00A600F2"/>
    <w:rsid w:val="00A60473"/>
    <w:rsid w:val="00A61935"/>
    <w:rsid w:val="00A61FC7"/>
    <w:rsid w:val="00A63440"/>
    <w:rsid w:val="00A64430"/>
    <w:rsid w:val="00A72FB3"/>
    <w:rsid w:val="00A75725"/>
    <w:rsid w:val="00A84E47"/>
    <w:rsid w:val="00A85CE5"/>
    <w:rsid w:val="00A911D3"/>
    <w:rsid w:val="00A913B2"/>
    <w:rsid w:val="00A91D36"/>
    <w:rsid w:val="00A96578"/>
    <w:rsid w:val="00A9759B"/>
    <w:rsid w:val="00AA52E1"/>
    <w:rsid w:val="00AB7E82"/>
    <w:rsid w:val="00AC1CBF"/>
    <w:rsid w:val="00AC550E"/>
    <w:rsid w:val="00AD0628"/>
    <w:rsid w:val="00AD0E66"/>
    <w:rsid w:val="00AD1D10"/>
    <w:rsid w:val="00AD5D53"/>
    <w:rsid w:val="00AE5123"/>
    <w:rsid w:val="00AF06BE"/>
    <w:rsid w:val="00AF4B08"/>
    <w:rsid w:val="00B00CC1"/>
    <w:rsid w:val="00B052B2"/>
    <w:rsid w:val="00B1124A"/>
    <w:rsid w:val="00B122D9"/>
    <w:rsid w:val="00B128B2"/>
    <w:rsid w:val="00B12C46"/>
    <w:rsid w:val="00B141DE"/>
    <w:rsid w:val="00B14BD7"/>
    <w:rsid w:val="00B14DDA"/>
    <w:rsid w:val="00B1731C"/>
    <w:rsid w:val="00B20FC2"/>
    <w:rsid w:val="00B2300C"/>
    <w:rsid w:val="00B23BB5"/>
    <w:rsid w:val="00B2701E"/>
    <w:rsid w:val="00B2721B"/>
    <w:rsid w:val="00B32291"/>
    <w:rsid w:val="00B33414"/>
    <w:rsid w:val="00B4165B"/>
    <w:rsid w:val="00B41961"/>
    <w:rsid w:val="00B43229"/>
    <w:rsid w:val="00B43A3E"/>
    <w:rsid w:val="00B46922"/>
    <w:rsid w:val="00B47BCA"/>
    <w:rsid w:val="00B47FD9"/>
    <w:rsid w:val="00B50A88"/>
    <w:rsid w:val="00B61026"/>
    <w:rsid w:val="00B62063"/>
    <w:rsid w:val="00B63368"/>
    <w:rsid w:val="00B66225"/>
    <w:rsid w:val="00B7009B"/>
    <w:rsid w:val="00B70B97"/>
    <w:rsid w:val="00B71086"/>
    <w:rsid w:val="00B72F85"/>
    <w:rsid w:val="00B8052B"/>
    <w:rsid w:val="00B81464"/>
    <w:rsid w:val="00B83B8E"/>
    <w:rsid w:val="00B84FF9"/>
    <w:rsid w:val="00B9272B"/>
    <w:rsid w:val="00B940E8"/>
    <w:rsid w:val="00B96BAB"/>
    <w:rsid w:val="00B96D64"/>
    <w:rsid w:val="00B97EA3"/>
    <w:rsid w:val="00BA04D5"/>
    <w:rsid w:val="00BA08AC"/>
    <w:rsid w:val="00BA2FA1"/>
    <w:rsid w:val="00BA41B1"/>
    <w:rsid w:val="00BA75B3"/>
    <w:rsid w:val="00BA7FF5"/>
    <w:rsid w:val="00BB064A"/>
    <w:rsid w:val="00BB0D58"/>
    <w:rsid w:val="00BB33E5"/>
    <w:rsid w:val="00BB354F"/>
    <w:rsid w:val="00BC2E0C"/>
    <w:rsid w:val="00BC30AC"/>
    <w:rsid w:val="00BC3CEF"/>
    <w:rsid w:val="00BC7562"/>
    <w:rsid w:val="00BD3F7E"/>
    <w:rsid w:val="00BD7663"/>
    <w:rsid w:val="00BE0206"/>
    <w:rsid w:val="00BE6998"/>
    <w:rsid w:val="00BF152B"/>
    <w:rsid w:val="00BF1A47"/>
    <w:rsid w:val="00BF305A"/>
    <w:rsid w:val="00BF494F"/>
    <w:rsid w:val="00BF4DED"/>
    <w:rsid w:val="00C043F2"/>
    <w:rsid w:val="00C1022D"/>
    <w:rsid w:val="00C10340"/>
    <w:rsid w:val="00C1382F"/>
    <w:rsid w:val="00C14527"/>
    <w:rsid w:val="00C146F6"/>
    <w:rsid w:val="00C1579D"/>
    <w:rsid w:val="00C16CE5"/>
    <w:rsid w:val="00C16D47"/>
    <w:rsid w:val="00C17656"/>
    <w:rsid w:val="00C2425E"/>
    <w:rsid w:val="00C25EDC"/>
    <w:rsid w:val="00C26BA3"/>
    <w:rsid w:val="00C27913"/>
    <w:rsid w:val="00C327AF"/>
    <w:rsid w:val="00C43DD1"/>
    <w:rsid w:val="00C45386"/>
    <w:rsid w:val="00C52CFA"/>
    <w:rsid w:val="00C54FB8"/>
    <w:rsid w:val="00C62A61"/>
    <w:rsid w:val="00C632E2"/>
    <w:rsid w:val="00C66B07"/>
    <w:rsid w:val="00C66BE3"/>
    <w:rsid w:val="00C74573"/>
    <w:rsid w:val="00C76870"/>
    <w:rsid w:val="00C802FC"/>
    <w:rsid w:val="00C805D4"/>
    <w:rsid w:val="00C8267A"/>
    <w:rsid w:val="00C83362"/>
    <w:rsid w:val="00C83C2F"/>
    <w:rsid w:val="00C86639"/>
    <w:rsid w:val="00C9213F"/>
    <w:rsid w:val="00C93F17"/>
    <w:rsid w:val="00C93F6F"/>
    <w:rsid w:val="00C956E2"/>
    <w:rsid w:val="00C95905"/>
    <w:rsid w:val="00C9636C"/>
    <w:rsid w:val="00CA0BB7"/>
    <w:rsid w:val="00CA1D20"/>
    <w:rsid w:val="00CA2855"/>
    <w:rsid w:val="00CA2C2E"/>
    <w:rsid w:val="00CA41B8"/>
    <w:rsid w:val="00CA6517"/>
    <w:rsid w:val="00CB3935"/>
    <w:rsid w:val="00CC3072"/>
    <w:rsid w:val="00CC5AC6"/>
    <w:rsid w:val="00CC749F"/>
    <w:rsid w:val="00CE4081"/>
    <w:rsid w:val="00CE5159"/>
    <w:rsid w:val="00CE52DB"/>
    <w:rsid w:val="00CE539F"/>
    <w:rsid w:val="00CF4424"/>
    <w:rsid w:val="00CF5859"/>
    <w:rsid w:val="00CF7CC5"/>
    <w:rsid w:val="00D01330"/>
    <w:rsid w:val="00D07659"/>
    <w:rsid w:val="00D118E4"/>
    <w:rsid w:val="00D11F5A"/>
    <w:rsid w:val="00D134B1"/>
    <w:rsid w:val="00D1651B"/>
    <w:rsid w:val="00D200DA"/>
    <w:rsid w:val="00D26166"/>
    <w:rsid w:val="00D2749D"/>
    <w:rsid w:val="00D2751E"/>
    <w:rsid w:val="00D37F38"/>
    <w:rsid w:val="00D43048"/>
    <w:rsid w:val="00D46018"/>
    <w:rsid w:val="00D46DB4"/>
    <w:rsid w:val="00D529A2"/>
    <w:rsid w:val="00D5302F"/>
    <w:rsid w:val="00D55C1E"/>
    <w:rsid w:val="00D602FB"/>
    <w:rsid w:val="00D60DD5"/>
    <w:rsid w:val="00D61EBA"/>
    <w:rsid w:val="00D6202D"/>
    <w:rsid w:val="00D6569F"/>
    <w:rsid w:val="00D66FF2"/>
    <w:rsid w:val="00D67CA1"/>
    <w:rsid w:val="00D72708"/>
    <w:rsid w:val="00D73617"/>
    <w:rsid w:val="00D736BA"/>
    <w:rsid w:val="00D738F5"/>
    <w:rsid w:val="00D838C8"/>
    <w:rsid w:val="00D868CF"/>
    <w:rsid w:val="00D923F9"/>
    <w:rsid w:val="00D950F3"/>
    <w:rsid w:val="00DA4600"/>
    <w:rsid w:val="00DA5353"/>
    <w:rsid w:val="00DA6169"/>
    <w:rsid w:val="00DA774F"/>
    <w:rsid w:val="00DB0C9D"/>
    <w:rsid w:val="00DB1159"/>
    <w:rsid w:val="00DB1280"/>
    <w:rsid w:val="00DB5505"/>
    <w:rsid w:val="00DB5EF1"/>
    <w:rsid w:val="00DC31F2"/>
    <w:rsid w:val="00DC47B8"/>
    <w:rsid w:val="00DC4A41"/>
    <w:rsid w:val="00DD1FC7"/>
    <w:rsid w:val="00DD2965"/>
    <w:rsid w:val="00DD4233"/>
    <w:rsid w:val="00DD5A3B"/>
    <w:rsid w:val="00DE4DD7"/>
    <w:rsid w:val="00DE5587"/>
    <w:rsid w:val="00DE7663"/>
    <w:rsid w:val="00DF1070"/>
    <w:rsid w:val="00DF19F1"/>
    <w:rsid w:val="00DF19FD"/>
    <w:rsid w:val="00DF342D"/>
    <w:rsid w:val="00DF3D36"/>
    <w:rsid w:val="00DF6FC2"/>
    <w:rsid w:val="00DF763B"/>
    <w:rsid w:val="00E02048"/>
    <w:rsid w:val="00E112ED"/>
    <w:rsid w:val="00E2058B"/>
    <w:rsid w:val="00E21241"/>
    <w:rsid w:val="00E21A6E"/>
    <w:rsid w:val="00E2772D"/>
    <w:rsid w:val="00E27B4E"/>
    <w:rsid w:val="00E27C90"/>
    <w:rsid w:val="00E301EA"/>
    <w:rsid w:val="00E313ED"/>
    <w:rsid w:val="00E3206B"/>
    <w:rsid w:val="00E3286A"/>
    <w:rsid w:val="00E335DA"/>
    <w:rsid w:val="00E3403C"/>
    <w:rsid w:val="00E346EB"/>
    <w:rsid w:val="00E40388"/>
    <w:rsid w:val="00E432CA"/>
    <w:rsid w:val="00E46FBE"/>
    <w:rsid w:val="00E47FF8"/>
    <w:rsid w:val="00E503E0"/>
    <w:rsid w:val="00E50C40"/>
    <w:rsid w:val="00E51A95"/>
    <w:rsid w:val="00E55C48"/>
    <w:rsid w:val="00E55CF1"/>
    <w:rsid w:val="00E56993"/>
    <w:rsid w:val="00E61C16"/>
    <w:rsid w:val="00E6304E"/>
    <w:rsid w:val="00E63439"/>
    <w:rsid w:val="00E6468A"/>
    <w:rsid w:val="00E70171"/>
    <w:rsid w:val="00E729E7"/>
    <w:rsid w:val="00E7545A"/>
    <w:rsid w:val="00E84AD1"/>
    <w:rsid w:val="00E91025"/>
    <w:rsid w:val="00E93F3C"/>
    <w:rsid w:val="00E970B6"/>
    <w:rsid w:val="00EA0E52"/>
    <w:rsid w:val="00EA1D31"/>
    <w:rsid w:val="00EA5D67"/>
    <w:rsid w:val="00EB1BC9"/>
    <w:rsid w:val="00EB26C4"/>
    <w:rsid w:val="00EB5123"/>
    <w:rsid w:val="00EC411E"/>
    <w:rsid w:val="00ED1017"/>
    <w:rsid w:val="00ED11BA"/>
    <w:rsid w:val="00ED16F9"/>
    <w:rsid w:val="00ED1C2B"/>
    <w:rsid w:val="00ED3851"/>
    <w:rsid w:val="00ED6E7D"/>
    <w:rsid w:val="00ED74C1"/>
    <w:rsid w:val="00EE2A7E"/>
    <w:rsid w:val="00EE34D2"/>
    <w:rsid w:val="00EE4AA8"/>
    <w:rsid w:val="00EE5D9F"/>
    <w:rsid w:val="00EE62CB"/>
    <w:rsid w:val="00EE7437"/>
    <w:rsid w:val="00EF4007"/>
    <w:rsid w:val="00EF4193"/>
    <w:rsid w:val="00EF41BE"/>
    <w:rsid w:val="00EF4F8C"/>
    <w:rsid w:val="00F0009C"/>
    <w:rsid w:val="00F02746"/>
    <w:rsid w:val="00F047C9"/>
    <w:rsid w:val="00F07086"/>
    <w:rsid w:val="00F14C5F"/>
    <w:rsid w:val="00F14E97"/>
    <w:rsid w:val="00F21616"/>
    <w:rsid w:val="00F23463"/>
    <w:rsid w:val="00F2351E"/>
    <w:rsid w:val="00F27767"/>
    <w:rsid w:val="00F30F01"/>
    <w:rsid w:val="00F32099"/>
    <w:rsid w:val="00F336E9"/>
    <w:rsid w:val="00F347EF"/>
    <w:rsid w:val="00F35233"/>
    <w:rsid w:val="00F35334"/>
    <w:rsid w:val="00F35CF3"/>
    <w:rsid w:val="00F449AF"/>
    <w:rsid w:val="00F46FC2"/>
    <w:rsid w:val="00F47B76"/>
    <w:rsid w:val="00F537F1"/>
    <w:rsid w:val="00F55886"/>
    <w:rsid w:val="00F57D36"/>
    <w:rsid w:val="00F60CD8"/>
    <w:rsid w:val="00F62785"/>
    <w:rsid w:val="00F705AE"/>
    <w:rsid w:val="00F70A93"/>
    <w:rsid w:val="00F715CF"/>
    <w:rsid w:val="00F71815"/>
    <w:rsid w:val="00F741C6"/>
    <w:rsid w:val="00F749FF"/>
    <w:rsid w:val="00F759D4"/>
    <w:rsid w:val="00F770EE"/>
    <w:rsid w:val="00F824D7"/>
    <w:rsid w:val="00F83181"/>
    <w:rsid w:val="00F84180"/>
    <w:rsid w:val="00F8472E"/>
    <w:rsid w:val="00F84A6F"/>
    <w:rsid w:val="00F851DE"/>
    <w:rsid w:val="00F85240"/>
    <w:rsid w:val="00F8553F"/>
    <w:rsid w:val="00F937A1"/>
    <w:rsid w:val="00F9473C"/>
    <w:rsid w:val="00F971DC"/>
    <w:rsid w:val="00FA0FCB"/>
    <w:rsid w:val="00FA487B"/>
    <w:rsid w:val="00FB2FCA"/>
    <w:rsid w:val="00FB4F6C"/>
    <w:rsid w:val="00FB5E5B"/>
    <w:rsid w:val="00FB7163"/>
    <w:rsid w:val="00FC640B"/>
    <w:rsid w:val="00FC7CFE"/>
    <w:rsid w:val="00FD320F"/>
    <w:rsid w:val="00FE20B9"/>
    <w:rsid w:val="00FE261B"/>
    <w:rsid w:val="00FE2BA9"/>
    <w:rsid w:val="00FE52E3"/>
    <w:rsid w:val="00FE5620"/>
    <w:rsid w:val="00FE7B31"/>
    <w:rsid w:val="00FF3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9F4"/>
    <w:rPr>
      <w:rFonts w:ascii="Arial" w:hAnsi="Arial" w:cs="Arial"/>
      <w:sz w:val="24"/>
      <w:szCs w:val="24"/>
      <w:lang w:eastAsia="en-US"/>
    </w:rPr>
  </w:style>
  <w:style w:type="paragraph" w:styleId="Heading1">
    <w:name w:val="heading 1"/>
    <w:basedOn w:val="Normal"/>
    <w:next w:val="Normal"/>
    <w:qFormat/>
    <w:rsid w:val="00512755"/>
    <w:pPr>
      <w:outlineLvl w:val="0"/>
    </w:pPr>
    <w:rPr>
      <w:b/>
      <w:bCs/>
      <w:lang w:eastAsia="en-GB"/>
    </w:rPr>
  </w:style>
  <w:style w:type="paragraph" w:styleId="Heading2">
    <w:name w:val="heading 2"/>
    <w:basedOn w:val="Normal"/>
    <w:next w:val="Normal"/>
    <w:link w:val="Heading2Char"/>
    <w:semiHidden/>
    <w:unhideWhenUsed/>
    <w:qFormat/>
    <w:rsid w:val="003869DD"/>
    <w:pPr>
      <w:keepNext/>
      <w:spacing w:before="240" w:after="60"/>
      <w:outlineLvl w:val="1"/>
    </w:pPr>
    <w:rPr>
      <w:rFonts w:ascii="Cambria" w:hAnsi="Cambria" w:cs="Times New Roman"/>
      <w:b/>
      <w:bCs/>
      <w:i/>
      <w:iCs/>
      <w:sz w:val="28"/>
      <w:szCs w:val="28"/>
    </w:rPr>
  </w:style>
  <w:style w:type="paragraph" w:styleId="Heading3">
    <w:name w:val="heading 3"/>
    <w:basedOn w:val="Heading1"/>
    <w:next w:val="Normal"/>
    <w:qFormat/>
    <w:rsid w:val="00512755"/>
    <w:pPr>
      <w:outlineLvl w:val="2"/>
    </w:pPr>
  </w:style>
  <w:style w:type="paragraph" w:styleId="Heading4">
    <w:name w:val="heading 4"/>
    <w:basedOn w:val="Normal"/>
    <w:next w:val="Normal"/>
    <w:link w:val="Heading4Char"/>
    <w:unhideWhenUsed/>
    <w:qFormat/>
    <w:rsid w:val="007904FB"/>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87694"/>
    <w:pPr>
      <w:ind w:left="720"/>
    </w:pPr>
    <w:rPr>
      <w:rFonts w:cs="Times New Roman"/>
    </w:rPr>
  </w:style>
  <w:style w:type="paragraph" w:styleId="Title">
    <w:name w:val="Title"/>
    <w:basedOn w:val="Normal"/>
    <w:link w:val="TitleChar"/>
    <w:qFormat/>
    <w:rsid w:val="00887694"/>
    <w:pPr>
      <w:jc w:val="center"/>
    </w:pPr>
    <w:rPr>
      <w:rFonts w:cs="Times New Roman"/>
      <w:b/>
      <w:bCs/>
    </w:rPr>
  </w:style>
  <w:style w:type="paragraph" w:styleId="Header">
    <w:name w:val="header"/>
    <w:basedOn w:val="Normal"/>
    <w:rsid w:val="00887694"/>
    <w:pPr>
      <w:tabs>
        <w:tab w:val="center" w:pos="4153"/>
        <w:tab w:val="right" w:pos="8306"/>
      </w:tabs>
    </w:pPr>
  </w:style>
  <w:style w:type="paragraph" w:styleId="Footer">
    <w:name w:val="footer"/>
    <w:basedOn w:val="Normal"/>
    <w:link w:val="FooterChar"/>
    <w:uiPriority w:val="99"/>
    <w:rsid w:val="00887694"/>
    <w:pPr>
      <w:tabs>
        <w:tab w:val="center" w:pos="4153"/>
        <w:tab w:val="right" w:pos="8306"/>
      </w:tabs>
    </w:pPr>
    <w:rPr>
      <w:rFonts w:cs="Times New Roman"/>
    </w:rPr>
  </w:style>
  <w:style w:type="paragraph" w:styleId="BodyTextIndent3">
    <w:name w:val="Body Text Indent 3"/>
    <w:basedOn w:val="Normal"/>
    <w:rsid w:val="00887694"/>
    <w:pPr>
      <w:spacing w:after="120"/>
      <w:ind w:left="283"/>
    </w:pPr>
    <w:rPr>
      <w:rFonts w:ascii="Times New Roman" w:hAnsi="Times New Roman" w:cs="Times New Roman"/>
      <w:sz w:val="16"/>
      <w:szCs w:val="16"/>
    </w:rPr>
  </w:style>
  <w:style w:type="character" w:styleId="PageNumber">
    <w:name w:val="page number"/>
    <w:basedOn w:val="DefaultParagraphFont"/>
    <w:rsid w:val="00740413"/>
  </w:style>
  <w:style w:type="paragraph" w:styleId="BalloonText">
    <w:name w:val="Balloon Text"/>
    <w:basedOn w:val="Normal"/>
    <w:semiHidden/>
    <w:rsid w:val="00C327AF"/>
    <w:rPr>
      <w:rFonts w:ascii="Tahoma" w:hAnsi="Tahoma" w:cs="Tahoma"/>
      <w:sz w:val="16"/>
      <w:szCs w:val="16"/>
    </w:rPr>
  </w:style>
  <w:style w:type="character" w:styleId="CommentReference">
    <w:name w:val="annotation reference"/>
    <w:semiHidden/>
    <w:rsid w:val="0090754A"/>
    <w:rPr>
      <w:sz w:val="16"/>
      <w:szCs w:val="16"/>
    </w:rPr>
  </w:style>
  <w:style w:type="paragraph" w:styleId="CommentText">
    <w:name w:val="annotation text"/>
    <w:basedOn w:val="Normal"/>
    <w:semiHidden/>
    <w:rsid w:val="0090754A"/>
    <w:rPr>
      <w:sz w:val="20"/>
      <w:szCs w:val="20"/>
    </w:rPr>
  </w:style>
  <w:style w:type="paragraph" w:styleId="CommentSubject">
    <w:name w:val="annotation subject"/>
    <w:basedOn w:val="CommentText"/>
    <w:next w:val="CommentText"/>
    <w:semiHidden/>
    <w:rsid w:val="0090754A"/>
    <w:rPr>
      <w:b/>
      <w:bCs/>
    </w:rPr>
  </w:style>
  <w:style w:type="character" w:styleId="Hyperlink">
    <w:name w:val="Hyperlink"/>
    <w:uiPriority w:val="99"/>
    <w:rsid w:val="0077118E"/>
    <w:rPr>
      <w:color w:val="0000FF"/>
      <w:u w:val="single"/>
    </w:rPr>
  </w:style>
  <w:style w:type="paragraph" w:styleId="NormalWeb">
    <w:name w:val="Normal (Web)"/>
    <w:basedOn w:val="Normal"/>
    <w:rsid w:val="0077118E"/>
    <w:pPr>
      <w:spacing w:before="100" w:beforeAutospacing="1" w:after="100" w:afterAutospacing="1"/>
    </w:pPr>
    <w:rPr>
      <w:rFonts w:ascii="Times New Roman" w:hAnsi="Times New Roman" w:cs="Times New Roman"/>
      <w:lang w:eastAsia="en-GB"/>
    </w:rPr>
  </w:style>
  <w:style w:type="table" w:styleId="TableGrid">
    <w:name w:val="Table Grid"/>
    <w:basedOn w:val="TableNormal"/>
    <w:uiPriority w:val="59"/>
    <w:rsid w:val="0066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BE6998"/>
    <w:pPr>
      <w:spacing w:after="120" w:line="480" w:lineRule="auto"/>
      <w:ind w:left="283"/>
    </w:pPr>
  </w:style>
  <w:style w:type="paragraph" w:customStyle="1" w:styleId="TempNormal2">
    <w:name w:val="Temp Normal 2"/>
    <w:basedOn w:val="Normal"/>
    <w:rsid w:val="00BE6998"/>
    <w:pPr>
      <w:tabs>
        <w:tab w:val="left" w:pos="-450"/>
        <w:tab w:val="left" w:pos="-180"/>
      </w:tabs>
      <w:spacing w:line="240" w:lineRule="exact"/>
      <w:ind w:right="86"/>
    </w:pPr>
    <w:rPr>
      <w:rFonts w:ascii="Tahoma" w:hAnsi="Tahoma" w:cs="Times New Roman"/>
      <w:snapToGrid w:val="0"/>
      <w:sz w:val="16"/>
      <w:szCs w:val="20"/>
      <w:lang w:bidi="he-IL"/>
    </w:rPr>
  </w:style>
  <w:style w:type="paragraph" w:styleId="BodyText">
    <w:name w:val="Body Text"/>
    <w:basedOn w:val="Normal"/>
    <w:rsid w:val="00B33414"/>
    <w:pPr>
      <w:spacing w:after="120"/>
    </w:pPr>
  </w:style>
  <w:style w:type="paragraph" w:customStyle="1" w:styleId="Default">
    <w:name w:val="Default"/>
    <w:rsid w:val="00D602F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602FB"/>
    <w:pPr>
      <w:ind w:left="720"/>
      <w:contextualSpacing/>
    </w:pPr>
    <w:rPr>
      <w:rFonts w:cs="Times New Roman"/>
      <w:sz w:val="22"/>
      <w:szCs w:val="20"/>
      <w:lang w:eastAsia="en-GB"/>
    </w:rPr>
  </w:style>
  <w:style w:type="character" w:customStyle="1" w:styleId="FooterChar">
    <w:name w:val="Footer Char"/>
    <w:link w:val="Footer"/>
    <w:uiPriority w:val="99"/>
    <w:rsid w:val="0040321E"/>
    <w:rPr>
      <w:rFonts w:ascii="Arial" w:hAnsi="Arial" w:cs="Arial"/>
      <w:sz w:val="24"/>
      <w:szCs w:val="24"/>
      <w:lang w:eastAsia="en-US"/>
    </w:rPr>
  </w:style>
  <w:style w:type="character" w:customStyle="1" w:styleId="BodyTextIndentChar">
    <w:name w:val="Body Text Indent Char"/>
    <w:link w:val="BodyTextIndent"/>
    <w:rsid w:val="00E112ED"/>
    <w:rPr>
      <w:rFonts w:ascii="Arial" w:hAnsi="Arial" w:cs="Arial"/>
      <w:sz w:val="24"/>
      <w:szCs w:val="24"/>
      <w:lang w:eastAsia="en-US"/>
    </w:rPr>
  </w:style>
  <w:style w:type="paragraph" w:styleId="Revision">
    <w:name w:val="Revision"/>
    <w:hidden/>
    <w:uiPriority w:val="99"/>
    <w:semiHidden/>
    <w:rsid w:val="001A1D8C"/>
    <w:rPr>
      <w:rFonts w:ascii="Arial" w:hAnsi="Arial" w:cs="Arial"/>
      <w:sz w:val="24"/>
      <w:szCs w:val="24"/>
      <w:lang w:eastAsia="en-US"/>
    </w:rPr>
  </w:style>
  <w:style w:type="character" w:customStyle="1" w:styleId="Heading2Char">
    <w:name w:val="Heading 2 Char"/>
    <w:link w:val="Heading2"/>
    <w:semiHidden/>
    <w:rsid w:val="003869DD"/>
    <w:rPr>
      <w:rFonts w:ascii="Cambria" w:eastAsia="Times New Roman" w:hAnsi="Cambria" w:cs="Times New Roman"/>
      <w:b/>
      <w:bCs/>
      <w:i/>
      <w:iCs/>
      <w:sz w:val="28"/>
      <w:szCs w:val="28"/>
      <w:lang w:eastAsia="en-US"/>
    </w:rPr>
  </w:style>
  <w:style w:type="paragraph" w:customStyle="1" w:styleId="Documentbulletpoint">
    <w:name w:val="Document bullet point"/>
    <w:basedOn w:val="Normal"/>
    <w:autoRedefine/>
    <w:rsid w:val="003869DD"/>
    <w:pPr>
      <w:ind w:left="540" w:hanging="540"/>
    </w:pPr>
    <w:rPr>
      <w:szCs w:val="20"/>
    </w:rPr>
  </w:style>
  <w:style w:type="paragraph" w:customStyle="1" w:styleId="DocumentTableText">
    <w:name w:val="Document Table Text"/>
    <w:basedOn w:val="Normal"/>
    <w:autoRedefine/>
    <w:rsid w:val="003869DD"/>
    <w:pPr>
      <w:spacing w:before="160"/>
    </w:pPr>
    <w:rPr>
      <w:rFonts w:ascii="Times New Roman" w:eastAsia="SimSun" w:hAnsi="Times New Roman" w:cs="Times New Roman"/>
      <w:szCs w:val="20"/>
    </w:rPr>
  </w:style>
  <w:style w:type="character" w:customStyle="1" w:styleId="TitleChar">
    <w:name w:val="Title Char"/>
    <w:link w:val="Title"/>
    <w:rsid w:val="003869DD"/>
    <w:rPr>
      <w:rFonts w:ascii="Arial" w:hAnsi="Arial" w:cs="Arial"/>
      <w:b/>
      <w:bCs/>
      <w:sz w:val="24"/>
      <w:szCs w:val="24"/>
      <w:lang w:eastAsia="en-US"/>
    </w:rPr>
  </w:style>
  <w:style w:type="paragraph" w:customStyle="1" w:styleId="NumberedBold">
    <w:name w:val="Numbered Bold"/>
    <w:basedOn w:val="Normal"/>
    <w:rsid w:val="003869DD"/>
    <w:pPr>
      <w:numPr>
        <w:numId w:val="8"/>
      </w:numPr>
      <w:suppressAutoHyphens/>
      <w:autoSpaceDN w:val="0"/>
      <w:textAlignment w:val="baseline"/>
    </w:pPr>
    <w:rPr>
      <w:rFonts w:ascii="Calibri" w:hAnsi="Calibri" w:cs="Times New Roman"/>
      <w:b/>
      <w:sz w:val="20"/>
      <w:szCs w:val="20"/>
    </w:rPr>
  </w:style>
  <w:style w:type="paragraph" w:customStyle="1" w:styleId="Blue">
    <w:name w:val="Blue"/>
    <w:basedOn w:val="Normal"/>
    <w:rsid w:val="003869DD"/>
    <w:pPr>
      <w:suppressAutoHyphens/>
      <w:autoSpaceDN w:val="0"/>
      <w:ind w:left="357"/>
      <w:textAlignment w:val="baseline"/>
    </w:pPr>
    <w:rPr>
      <w:rFonts w:ascii="Calibri" w:hAnsi="Calibri" w:cs="Times New Roman"/>
      <w:color w:val="0000FF"/>
      <w:sz w:val="16"/>
      <w:szCs w:val="18"/>
    </w:rPr>
  </w:style>
  <w:style w:type="numbering" w:customStyle="1" w:styleId="LFO20">
    <w:name w:val="LFO20"/>
    <w:basedOn w:val="NoList"/>
    <w:rsid w:val="003869DD"/>
    <w:pPr>
      <w:numPr>
        <w:numId w:val="8"/>
      </w:numPr>
    </w:pPr>
  </w:style>
  <w:style w:type="character" w:customStyle="1" w:styleId="Heading4Char">
    <w:name w:val="Heading 4 Char"/>
    <w:link w:val="Heading4"/>
    <w:rsid w:val="007904FB"/>
    <w:rPr>
      <w:rFonts w:ascii="Calibri" w:eastAsia="Times New Roman" w:hAnsi="Calibri" w:cs="Times New Roman"/>
      <w:b/>
      <w:bCs/>
      <w:sz w:val="28"/>
      <w:szCs w:val="28"/>
      <w:lang w:eastAsia="en-US"/>
    </w:rPr>
  </w:style>
  <w:style w:type="paragraph" w:customStyle="1" w:styleId="NormalWeb3">
    <w:name w:val="Normal (Web)3"/>
    <w:basedOn w:val="Normal"/>
    <w:rsid w:val="00C83C2F"/>
    <w:pPr>
      <w:spacing w:after="180"/>
      <w:ind w:right="240"/>
    </w:pPr>
    <w:rPr>
      <w:rFonts w:ascii="Times New Roman" w:hAnsi="Times New Roman" w:cs="Times New Roman"/>
      <w:lang w:eastAsia="en-GB"/>
    </w:rPr>
  </w:style>
  <w:style w:type="paragraph" w:customStyle="1" w:styleId="Thirdsubbody">
    <w:name w:val="Third sub body"/>
    <w:basedOn w:val="Normal"/>
    <w:rsid w:val="00F84180"/>
    <w:pPr>
      <w:spacing w:before="160"/>
      <w:ind w:left="2160"/>
    </w:pPr>
    <w:rPr>
      <w:rFonts w:cs="Times New Roman"/>
      <w:sz w:val="22"/>
      <w:szCs w:val="20"/>
    </w:rPr>
  </w:style>
  <w:style w:type="character" w:styleId="FollowedHyperlink">
    <w:name w:val="FollowedHyperlink"/>
    <w:basedOn w:val="DefaultParagraphFont"/>
    <w:rsid w:val="00985BF1"/>
    <w:rPr>
      <w:color w:val="800080" w:themeColor="followedHyperlink"/>
      <w:u w:val="single"/>
    </w:rPr>
  </w:style>
  <w:style w:type="paragraph" w:styleId="TOCHeading">
    <w:name w:val="TOC Heading"/>
    <w:basedOn w:val="Heading1"/>
    <w:next w:val="Normal"/>
    <w:uiPriority w:val="39"/>
    <w:semiHidden/>
    <w:unhideWhenUsed/>
    <w:qFormat/>
    <w:rsid w:val="00967BE2"/>
    <w:pPr>
      <w:keepNext/>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qFormat/>
    <w:rsid w:val="00ED6E7D"/>
    <w:pPr>
      <w:spacing w:after="100"/>
    </w:pPr>
    <w:rPr>
      <w:rFonts w:asciiTheme="minorHAnsi" w:hAnsiTheme="minorHAnsi"/>
    </w:rPr>
  </w:style>
  <w:style w:type="paragraph" w:styleId="TOC2">
    <w:name w:val="toc 2"/>
    <w:basedOn w:val="Normal"/>
    <w:next w:val="Normal"/>
    <w:autoRedefine/>
    <w:uiPriority w:val="39"/>
    <w:unhideWhenUsed/>
    <w:qFormat/>
    <w:rsid w:val="00967BE2"/>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967BE2"/>
    <w:pPr>
      <w:spacing w:after="100" w:line="276" w:lineRule="auto"/>
      <w:ind w:left="440"/>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rsid w:val="007A7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9F4"/>
    <w:rPr>
      <w:rFonts w:ascii="Arial" w:hAnsi="Arial" w:cs="Arial"/>
      <w:sz w:val="24"/>
      <w:szCs w:val="24"/>
      <w:lang w:eastAsia="en-US"/>
    </w:rPr>
  </w:style>
  <w:style w:type="paragraph" w:styleId="Heading1">
    <w:name w:val="heading 1"/>
    <w:basedOn w:val="Normal"/>
    <w:next w:val="Normal"/>
    <w:qFormat/>
    <w:rsid w:val="00512755"/>
    <w:pPr>
      <w:outlineLvl w:val="0"/>
    </w:pPr>
    <w:rPr>
      <w:b/>
      <w:bCs/>
      <w:lang w:eastAsia="en-GB"/>
    </w:rPr>
  </w:style>
  <w:style w:type="paragraph" w:styleId="Heading2">
    <w:name w:val="heading 2"/>
    <w:basedOn w:val="Normal"/>
    <w:next w:val="Normal"/>
    <w:link w:val="Heading2Char"/>
    <w:semiHidden/>
    <w:unhideWhenUsed/>
    <w:qFormat/>
    <w:rsid w:val="003869DD"/>
    <w:pPr>
      <w:keepNext/>
      <w:spacing w:before="240" w:after="60"/>
      <w:outlineLvl w:val="1"/>
    </w:pPr>
    <w:rPr>
      <w:rFonts w:ascii="Cambria" w:hAnsi="Cambria" w:cs="Times New Roman"/>
      <w:b/>
      <w:bCs/>
      <w:i/>
      <w:iCs/>
      <w:sz w:val="28"/>
      <w:szCs w:val="28"/>
    </w:rPr>
  </w:style>
  <w:style w:type="paragraph" w:styleId="Heading3">
    <w:name w:val="heading 3"/>
    <w:basedOn w:val="Heading1"/>
    <w:next w:val="Normal"/>
    <w:qFormat/>
    <w:rsid w:val="00512755"/>
    <w:pPr>
      <w:outlineLvl w:val="2"/>
    </w:pPr>
  </w:style>
  <w:style w:type="paragraph" w:styleId="Heading4">
    <w:name w:val="heading 4"/>
    <w:basedOn w:val="Normal"/>
    <w:next w:val="Normal"/>
    <w:link w:val="Heading4Char"/>
    <w:unhideWhenUsed/>
    <w:qFormat/>
    <w:rsid w:val="007904FB"/>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87694"/>
    <w:pPr>
      <w:ind w:left="720"/>
    </w:pPr>
    <w:rPr>
      <w:rFonts w:cs="Times New Roman"/>
    </w:rPr>
  </w:style>
  <w:style w:type="paragraph" w:styleId="Title">
    <w:name w:val="Title"/>
    <w:basedOn w:val="Normal"/>
    <w:link w:val="TitleChar"/>
    <w:qFormat/>
    <w:rsid w:val="00887694"/>
    <w:pPr>
      <w:jc w:val="center"/>
    </w:pPr>
    <w:rPr>
      <w:rFonts w:cs="Times New Roman"/>
      <w:b/>
      <w:bCs/>
    </w:rPr>
  </w:style>
  <w:style w:type="paragraph" w:styleId="Header">
    <w:name w:val="header"/>
    <w:basedOn w:val="Normal"/>
    <w:rsid w:val="00887694"/>
    <w:pPr>
      <w:tabs>
        <w:tab w:val="center" w:pos="4153"/>
        <w:tab w:val="right" w:pos="8306"/>
      </w:tabs>
    </w:pPr>
  </w:style>
  <w:style w:type="paragraph" w:styleId="Footer">
    <w:name w:val="footer"/>
    <w:basedOn w:val="Normal"/>
    <w:link w:val="FooterChar"/>
    <w:uiPriority w:val="99"/>
    <w:rsid w:val="00887694"/>
    <w:pPr>
      <w:tabs>
        <w:tab w:val="center" w:pos="4153"/>
        <w:tab w:val="right" w:pos="8306"/>
      </w:tabs>
    </w:pPr>
    <w:rPr>
      <w:rFonts w:cs="Times New Roman"/>
    </w:rPr>
  </w:style>
  <w:style w:type="paragraph" w:styleId="BodyTextIndent3">
    <w:name w:val="Body Text Indent 3"/>
    <w:basedOn w:val="Normal"/>
    <w:rsid w:val="00887694"/>
    <w:pPr>
      <w:spacing w:after="120"/>
      <w:ind w:left="283"/>
    </w:pPr>
    <w:rPr>
      <w:rFonts w:ascii="Times New Roman" w:hAnsi="Times New Roman" w:cs="Times New Roman"/>
      <w:sz w:val="16"/>
      <w:szCs w:val="16"/>
    </w:rPr>
  </w:style>
  <w:style w:type="character" w:styleId="PageNumber">
    <w:name w:val="page number"/>
    <w:basedOn w:val="DefaultParagraphFont"/>
    <w:rsid w:val="00740413"/>
  </w:style>
  <w:style w:type="paragraph" w:styleId="BalloonText">
    <w:name w:val="Balloon Text"/>
    <w:basedOn w:val="Normal"/>
    <w:semiHidden/>
    <w:rsid w:val="00C327AF"/>
    <w:rPr>
      <w:rFonts w:ascii="Tahoma" w:hAnsi="Tahoma" w:cs="Tahoma"/>
      <w:sz w:val="16"/>
      <w:szCs w:val="16"/>
    </w:rPr>
  </w:style>
  <w:style w:type="character" w:styleId="CommentReference">
    <w:name w:val="annotation reference"/>
    <w:semiHidden/>
    <w:rsid w:val="0090754A"/>
    <w:rPr>
      <w:sz w:val="16"/>
      <w:szCs w:val="16"/>
    </w:rPr>
  </w:style>
  <w:style w:type="paragraph" w:styleId="CommentText">
    <w:name w:val="annotation text"/>
    <w:basedOn w:val="Normal"/>
    <w:semiHidden/>
    <w:rsid w:val="0090754A"/>
    <w:rPr>
      <w:sz w:val="20"/>
      <w:szCs w:val="20"/>
    </w:rPr>
  </w:style>
  <w:style w:type="paragraph" w:styleId="CommentSubject">
    <w:name w:val="annotation subject"/>
    <w:basedOn w:val="CommentText"/>
    <w:next w:val="CommentText"/>
    <w:semiHidden/>
    <w:rsid w:val="0090754A"/>
    <w:rPr>
      <w:b/>
      <w:bCs/>
    </w:rPr>
  </w:style>
  <w:style w:type="character" w:styleId="Hyperlink">
    <w:name w:val="Hyperlink"/>
    <w:uiPriority w:val="99"/>
    <w:rsid w:val="0077118E"/>
    <w:rPr>
      <w:color w:val="0000FF"/>
      <w:u w:val="single"/>
    </w:rPr>
  </w:style>
  <w:style w:type="paragraph" w:styleId="NormalWeb">
    <w:name w:val="Normal (Web)"/>
    <w:basedOn w:val="Normal"/>
    <w:rsid w:val="0077118E"/>
    <w:pPr>
      <w:spacing w:before="100" w:beforeAutospacing="1" w:after="100" w:afterAutospacing="1"/>
    </w:pPr>
    <w:rPr>
      <w:rFonts w:ascii="Times New Roman" w:hAnsi="Times New Roman" w:cs="Times New Roman"/>
      <w:lang w:eastAsia="en-GB"/>
    </w:rPr>
  </w:style>
  <w:style w:type="table" w:styleId="TableGrid">
    <w:name w:val="Table Grid"/>
    <w:basedOn w:val="TableNormal"/>
    <w:uiPriority w:val="59"/>
    <w:rsid w:val="0066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BE6998"/>
    <w:pPr>
      <w:spacing w:after="120" w:line="480" w:lineRule="auto"/>
      <w:ind w:left="283"/>
    </w:pPr>
  </w:style>
  <w:style w:type="paragraph" w:customStyle="1" w:styleId="TempNormal2">
    <w:name w:val="Temp Normal 2"/>
    <w:basedOn w:val="Normal"/>
    <w:rsid w:val="00BE6998"/>
    <w:pPr>
      <w:tabs>
        <w:tab w:val="left" w:pos="-450"/>
        <w:tab w:val="left" w:pos="-180"/>
      </w:tabs>
      <w:spacing w:line="240" w:lineRule="exact"/>
      <w:ind w:right="86"/>
    </w:pPr>
    <w:rPr>
      <w:rFonts w:ascii="Tahoma" w:hAnsi="Tahoma" w:cs="Times New Roman"/>
      <w:snapToGrid w:val="0"/>
      <w:sz w:val="16"/>
      <w:szCs w:val="20"/>
      <w:lang w:bidi="he-IL"/>
    </w:rPr>
  </w:style>
  <w:style w:type="paragraph" w:styleId="BodyText">
    <w:name w:val="Body Text"/>
    <w:basedOn w:val="Normal"/>
    <w:rsid w:val="00B33414"/>
    <w:pPr>
      <w:spacing w:after="120"/>
    </w:pPr>
  </w:style>
  <w:style w:type="paragraph" w:customStyle="1" w:styleId="Default">
    <w:name w:val="Default"/>
    <w:rsid w:val="00D602F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602FB"/>
    <w:pPr>
      <w:ind w:left="720"/>
      <w:contextualSpacing/>
    </w:pPr>
    <w:rPr>
      <w:rFonts w:cs="Times New Roman"/>
      <w:sz w:val="22"/>
      <w:szCs w:val="20"/>
      <w:lang w:eastAsia="en-GB"/>
    </w:rPr>
  </w:style>
  <w:style w:type="character" w:customStyle="1" w:styleId="FooterChar">
    <w:name w:val="Footer Char"/>
    <w:link w:val="Footer"/>
    <w:uiPriority w:val="99"/>
    <w:rsid w:val="0040321E"/>
    <w:rPr>
      <w:rFonts w:ascii="Arial" w:hAnsi="Arial" w:cs="Arial"/>
      <w:sz w:val="24"/>
      <w:szCs w:val="24"/>
      <w:lang w:eastAsia="en-US"/>
    </w:rPr>
  </w:style>
  <w:style w:type="character" w:customStyle="1" w:styleId="BodyTextIndentChar">
    <w:name w:val="Body Text Indent Char"/>
    <w:link w:val="BodyTextIndent"/>
    <w:rsid w:val="00E112ED"/>
    <w:rPr>
      <w:rFonts w:ascii="Arial" w:hAnsi="Arial" w:cs="Arial"/>
      <w:sz w:val="24"/>
      <w:szCs w:val="24"/>
      <w:lang w:eastAsia="en-US"/>
    </w:rPr>
  </w:style>
  <w:style w:type="paragraph" w:styleId="Revision">
    <w:name w:val="Revision"/>
    <w:hidden/>
    <w:uiPriority w:val="99"/>
    <w:semiHidden/>
    <w:rsid w:val="001A1D8C"/>
    <w:rPr>
      <w:rFonts w:ascii="Arial" w:hAnsi="Arial" w:cs="Arial"/>
      <w:sz w:val="24"/>
      <w:szCs w:val="24"/>
      <w:lang w:eastAsia="en-US"/>
    </w:rPr>
  </w:style>
  <w:style w:type="character" w:customStyle="1" w:styleId="Heading2Char">
    <w:name w:val="Heading 2 Char"/>
    <w:link w:val="Heading2"/>
    <w:semiHidden/>
    <w:rsid w:val="003869DD"/>
    <w:rPr>
      <w:rFonts w:ascii="Cambria" w:eastAsia="Times New Roman" w:hAnsi="Cambria" w:cs="Times New Roman"/>
      <w:b/>
      <w:bCs/>
      <w:i/>
      <w:iCs/>
      <w:sz w:val="28"/>
      <w:szCs w:val="28"/>
      <w:lang w:eastAsia="en-US"/>
    </w:rPr>
  </w:style>
  <w:style w:type="paragraph" w:customStyle="1" w:styleId="Documentbulletpoint">
    <w:name w:val="Document bullet point"/>
    <w:basedOn w:val="Normal"/>
    <w:autoRedefine/>
    <w:rsid w:val="003869DD"/>
    <w:pPr>
      <w:ind w:left="540" w:hanging="540"/>
    </w:pPr>
    <w:rPr>
      <w:szCs w:val="20"/>
    </w:rPr>
  </w:style>
  <w:style w:type="paragraph" w:customStyle="1" w:styleId="DocumentTableText">
    <w:name w:val="Document Table Text"/>
    <w:basedOn w:val="Normal"/>
    <w:autoRedefine/>
    <w:rsid w:val="003869DD"/>
    <w:pPr>
      <w:spacing w:before="160"/>
    </w:pPr>
    <w:rPr>
      <w:rFonts w:ascii="Times New Roman" w:eastAsia="SimSun" w:hAnsi="Times New Roman" w:cs="Times New Roman"/>
      <w:szCs w:val="20"/>
    </w:rPr>
  </w:style>
  <w:style w:type="character" w:customStyle="1" w:styleId="TitleChar">
    <w:name w:val="Title Char"/>
    <w:link w:val="Title"/>
    <w:rsid w:val="003869DD"/>
    <w:rPr>
      <w:rFonts w:ascii="Arial" w:hAnsi="Arial" w:cs="Arial"/>
      <w:b/>
      <w:bCs/>
      <w:sz w:val="24"/>
      <w:szCs w:val="24"/>
      <w:lang w:eastAsia="en-US"/>
    </w:rPr>
  </w:style>
  <w:style w:type="paragraph" w:customStyle="1" w:styleId="NumberedBold">
    <w:name w:val="Numbered Bold"/>
    <w:basedOn w:val="Normal"/>
    <w:rsid w:val="003869DD"/>
    <w:pPr>
      <w:numPr>
        <w:numId w:val="8"/>
      </w:numPr>
      <w:suppressAutoHyphens/>
      <w:autoSpaceDN w:val="0"/>
      <w:textAlignment w:val="baseline"/>
    </w:pPr>
    <w:rPr>
      <w:rFonts w:ascii="Calibri" w:hAnsi="Calibri" w:cs="Times New Roman"/>
      <w:b/>
      <w:sz w:val="20"/>
      <w:szCs w:val="20"/>
    </w:rPr>
  </w:style>
  <w:style w:type="paragraph" w:customStyle="1" w:styleId="Blue">
    <w:name w:val="Blue"/>
    <w:basedOn w:val="Normal"/>
    <w:rsid w:val="003869DD"/>
    <w:pPr>
      <w:suppressAutoHyphens/>
      <w:autoSpaceDN w:val="0"/>
      <w:ind w:left="357"/>
      <w:textAlignment w:val="baseline"/>
    </w:pPr>
    <w:rPr>
      <w:rFonts w:ascii="Calibri" w:hAnsi="Calibri" w:cs="Times New Roman"/>
      <w:color w:val="0000FF"/>
      <w:sz w:val="16"/>
      <w:szCs w:val="18"/>
    </w:rPr>
  </w:style>
  <w:style w:type="numbering" w:customStyle="1" w:styleId="LFO20">
    <w:name w:val="LFO20"/>
    <w:basedOn w:val="NoList"/>
    <w:rsid w:val="003869DD"/>
    <w:pPr>
      <w:numPr>
        <w:numId w:val="8"/>
      </w:numPr>
    </w:pPr>
  </w:style>
  <w:style w:type="character" w:customStyle="1" w:styleId="Heading4Char">
    <w:name w:val="Heading 4 Char"/>
    <w:link w:val="Heading4"/>
    <w:rsid w:val="007904FB"/>
    <w:rPr>
      <w:rFonts w:ascii="Calibri" w:eastAsia="Times New Roman" w:hAnsi="Calibri" w:cs="Times New Roman"/>
      <w:b/>
      <w:bCs/>
      <w:sz w:val="28"/>
      <w:szCs w:val="28"/>
      <w:lang w:eastAsia="en-US"/>
    </w:rPr>
  </w:style>
  <w:style w:type="paragraph" w:customStyle="1" w:styleId="NormalWeb3">
    <w:name w:val="Normal (Web)3"/>
    <w:basedOn w:val="Normal"/>
    <w:rsid w:val="00C83C2F"/>
    <w:pPr>
      <w:spacing w:after="180"/>
      <w:ind w:right="240"/>
    </w:pPr>
    <w:rPr>
      <w:rFonts w:ascii="Times New Roman" w:hAnsi="Times New Roman" w:cs="Times New Roman"/>
      <w:lang w:eastAsia="en-GB"/>
    </w:rPr>
  </w:style>
  <w:style w:type="paragraph" w:customStyle="1" w:styleId="Thirdsubbody">
    <w:name w:val="Third sub body"/>
    <w:basedOn w:val="Normal"/>
    <w:rsid w:val="00F84180"/>
    <w:pPr>
      <w:spacing w:before="160"/>
      <w:ind w:left="2160"/>
    </w:pPr>
    <w:rPr>
      <w:rFonts w:cs="Times New Roman"/>
      <w:sz w:val="22"/>
      <w:szCs w:val="20"/>
    </w:rPr>
  </w:style>
  <w:style w:type="character" w:styleId="FollowedHyperlink">
    <w:name w:val="FollowedHyperlink"/>
    <w:basedOn w:val="DefaultParagraphFont"/>
    <w:rsid w:val="00985BF1"/>
    <w:rPr>
      <w:color w:val="800080" w:themeColor="followedHyperlink"/>
      <w:u w:val="single"/>
    </w:rPr>
  </w:style>
  <w:style w:type="paragraph" w:styleId="TOCHeading">
    <w:name w:val="TOC Heading"/>
    <w:basedOn w:val="Heading1"/>
    <w:next w:val="Normal"/>
    <w:uiPriority w:val="39"/>
    <w:semiHidden/>
    <w:unhideWhenUsed/>
    <w:qFormat/>
    <w:rsid w:val="00967BE2"/>
    <w:pPr>
      <w:keepNext/>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qFormat/>
    <w:rsid w:val="00ED6E7D"/>
    <w:pPr>
      <w:spacing w:after="100"/>
    </w:pPr>
    <w:rPr>
      <w:rFonts w:asciiTheme="minorHAnsi" w:hAnsiTheme="minorHAnsi"/>
    </w:rPr>
  </w:style>
  <w:style w:type="paragraph" w:styleId="TOC2">
    <w:name w:val="toc 2"/>
    <w:basedOn w:val="Normal"/>
    <w:next w:val="Normal"/>
    <w:autoRedefine/>
    <w:uiPriority w:val="39"/>
    <w:unhideWhenUsed/>
    <w:qFormat/>
    <w:rsid w:val="00967BE2"/>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967BE2"/>
    <w:pPr>
      <w:spacing w:after="100" w:line="276" w:lineRule="auto"/>
      <w:ind w:left="440"/>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rsid w:val="007A7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76758">
      <w:bodyDiv w:val="1"/>
      <w:marLeft w:val="0"/>
      <w:marRight w:val="0"/>
      <w:marTop w:val="0"/>
      <w:marBottom w:val="0"/>
      <w:divBdr>
        <w:top w:val="none" w:sz="0" w:space="0" w:color="auto"/>
        <w:left w:val="none" w:sz="0" w:space="0" w:color="auto"/>
        <w:bottom w:val="none" w:sz="0" w:space="0" w:color="auto"/>
        <w:right w:val="none" w:sz="0" w:space="0" w:color="auto"/>
      </w:divBdr>
    </w:div>
    <w:div w:id="1210993287">
      <w:bodyDiv w:val="1"/>
      <w:marLeft w:val="0"/>
      <w:marRight w:val="0"/>
      <w:marTop w:val="0"/>
      <w:marBottom w:val="0"/>
      <w:divBdr>
        <w:top w:val="none" w:sz="0" w:space="0" w:color="auto"/>
        <w:left w:val="none" w:sz="0" w:space="0" w:color="auto"/>
        <w:bottom w:val="none" w:sz="0" w:space="0" w:color="auto"/>
        <w:right w:val="none" w:sz="0" w:space="0" w:color="auto"/>
      </w:divBdr>
    </w:div>
    <w:div w:id="1224372071">
      <w:bodyDiv w:val="1"/>
      <w:marLeft w:val="0"/>
      <w:marRight w:val="0"/>
      <w:marTop w:val="0"/>
      <w:marBottom w:val="0"/>
      <w:divBdr>
        <w:top w:val="none" w:sz="0" w:space="0" w:color="auto"/>
        <w:left w:val="none" w:sz="0" w:space="0" w:color="auto"/>
        <w:bottom w:val="none" w:sz="0" w:space="0" w:color="auto"/>
        <w:right w:val="none" w:sz="0" w:space="0" w:color="auto"/>
      </w:divBdr>
    </w:div>
    <w:div w:id="1475290629">
      <w:bodyDiv w:val="1"/>
      <w:marLeft w:val="1500"/>
      <w:marRight w:val="0"/>
      <w:marTop w:val="0"/>
      <w:marBottom w:val="0"/>
      <w:divBdr>
        <w:top w:val="none" w:sz="0" w:space="0" w:color="auto"/>
        <w:left w:val="none" w:sz="0" w:space="0" w:color="auto"/>
        <w:bottom w:val="none" w:sz="0" w:space="0" w:color="auto"/>
        <w:right w:val="none" w:sz="0" w:space="0" w:color="auto"/>
      </w:divBdr>
      <w:divsChild>
        <w:div w:id="1132527898">
          <w:marLeft w:val="0"/>
          <w:marRight w:val="0"/>
          <w:marTop w:val="0"/>
          <w:marBottom w:val="0"/>
          <w:divBdr>
            <w:top w:val="none" w:sz="0" w:space="0" w:color="auto"/>
            <w:left w:val="none" w:sz="0" w:space="0" w:color="auto"/>
            <w:bottom w:val="none" w:sz="0" w:space="0" w:color="auto"/>
            <w:right w:val="none" w:sz="0" w:space="0" w:color="auto"/>
          </w:divBdr>
          <w:divsChild>
            <w:div w:id="124280633">
              <w:marLeft w:val="0"/>
              <w:marRight w:val="0"/>
              <w:marTop w:val="0"/>
              <w:marBottom w:val="0"/>
              <w:divBdr>
                <w:top w:val="none" w:sz="0" w:space="0" w:color="auto"/>
                <w:left w:val="none" w:sz="0" w:space="0" w:color="auto"/>
                <w:bottom w:val="none" w:sz="0" w:space="0" w:color="auto"/>
                <w:right w:val="none" w:sz="0" w:space="0" w:color="auto"/>
              </w:divBdr>
              <w:divsChild>
                <w:div w:id="1974212520">
                  <w:marLeft w:val="0"/>
                  <w:marRight w:val="0"/>
                  <w:marTop w:val="0"/>
                  <w:marBottom w:val="0"/>
                  <w:divBdr>
                    <w:top w:val="none" w:sz="0" w:space="0" w:color="auto"/>
                    <w:left w:val="none" w:sz="0" w:space="0" w:color="auto"/>
                    <w:bottom w:val="none" w:sz="0" w:space="0" w:color="auto"/>
                    <w:right w:val="none" w:sz="0" w:space="0" w:color="auto"/>
                  </w:divBdr>
                  <w:divsChild>
                    <w:div w:id="403576396">
                      <w:marLeft w:val="0"/>
                      <w:marRight w:val="0"/>
                      <w:marTop w:val="0"/>
                      <w:marBottom w:val="0"/>
                      <w:divBdr>
                        <w:top w:val="none" w:sz="0" w:space="0" w:color="auto"/>
                        <w:left w:val="none" w:sz="0" w:space="0" w:color="auto"/>
                        <w:bottom w:val="none" w:sz="0" w:space="0" w:color="auto"/>
                        <w:right w:val="none" w:sz="0" w:space="0" w:color="auto"/>
                      </w:divBdr>
                      <w:divsChild>
                        <w:div w:id="770395128">
                          <w:marLeft w:val="0"/>
                          <w:marRight w:val="0"/>
                          <w:marTop w:val="0"/>
                          <w:marBottom w:val="0"/>
                          <w:divBdr>
                            <w:top w:val="none" w:sz="0" w:space="0" w:color="auto"/>
                            <w:left w:val="none" w:sz="0" w:space="0" w:color="auto"/>
                            <w:bottom w:val="none" w:sz="0" w:space="0" w:color="auto"/>
                            <w:right w:val="none" w:sz="0" w:space="0" w:color="auto"/>
                          </w:divBdr>
                          <w:divsChild>
                            <w:div w:id="538974688">
                              <w:marLeft w:val="0"/>
                              <w:marRight w:val="0"/>
                              <w:marTop w:val="0"/>
                              <w:marBottom w:val="0"/>
                              <w:divBdr>
                                <w:top w:val="none" w:sz="0" w:space="0" w:color="auto"/>
                                <w:left w:val="none" w:sz="0" w:space="0" w:color="auto"/>
                                <w:bottom w:val="none" w:sz="0" w:space="0" w:color="auto"/>
                                <w:right w:val="none" w:sz="0" w:space="0" w:color="auto"/>
                              </w:divBdr>
                              <w:divsChild>
                                <w:div w:id="1023432417">
                                  <w:marLeft w:val="0"/>
                                  <w:marRight w:val="0"/>
                                  <w:marTop w:val="0"/>
                                  <w:marBottom w:val="0"/>
                                  <w:divBdr>
                                    <w:top w:val="none" w:sz="0" w:space="0" w:color="auto"/>
                                    <w:left w:val="none" w:sz="0" w:space="0" w:color="auto"/>
                                    <w:bottom w:val="none" w:sz="0" w:space="0" w:color="auto"/>
                                    <w:right w:val="none" w:sz="0" w:space="0" w:color="auto"/>
                                  </w:divBdr>
                                  <w:divsChild>
                                    <w:div w:id="1559172950">
                                      <w:marLeft w:val="0"/>
                                      <w:marRight w:val="0"/>
                                      <w:marTop w:val="0"/>
                                      <w:marBottom w:val="0"/>
                                      <w:divBdr>
                                        <w:top w:val="none" w:sz="0" w:space="0" w:color="auto"/>
                                        <w:left w:val="none" w:sz="0" w:space="0" w:color="auto"/>
                                        <w:bottom w:val="none" w:sz="0" w:space="0" w:color="auto"/>
                                        <w:right w:val="none" w:sz="0" w:space="0" w:color="auto"/>
                                      </w:divBdr>
                                      <w:divsChild>
                                        <w:div w:id="248276234">
                                          <w:marLeft w:val="0"/>
                                          <w:marRight w:val="0"/>
                                          <w:marTop w:val="0"/>
                                          <w:marBottom w:val="0"/>
                                          <w:divBdr>
                                            <w:top w:val="none" w:sz="0" w:space="0" w:color="auto"/>
                                            <w:left w:val="none" w:sz="0" w:space="0" w:color="auto"/>
                                            <w:bottom w:val="none" w:sz="0" w:space="0" w:color="auto"/>
                                            <w:right w:val="none" w:sz="0" w:space="0" w:color="auto"/>
                                          </w:divBdr>
                                          <w:divsChild>
                                            <w:div w:id="68307546">
                                              <w:marLeft w:val="0"/>
                                              <w:marRight w:val="0"/>
                                              <w:marTop w:val="0"/>
                                              <w:marBottom w:val="0"/>
                                              <w:divBdr>
                                                <w:top w:val="none" w:sz="0" w:space="0" w:color="auto"/>
                                                <w:left w:val="none" w:sz="0" w:space="0" w:color="auto"/>
                                                <w:bottom w:val="none" w:sz="0" w:space="0" w:color="auto"/>
                                                <w:right w:val="none" w:sz="0" w:space="0" w:color="auto"/>
                                              </w:divBdr>
                                              <w:divsChild>
                                                <w:div w:id="630675929">
                                                  <w:marLeft w:val="0"/>
                                                  <w:marRight w:val="0"/>
                                                  <w:marTop w:val="0"/>
                                                  <w:marBottom w:val="0"/>
                                                  <w:divBdr>
                                                    <w:top w:val="none" w:sz="0" w:space="0" w:color="auto"/>
                                                    <w:left w:val="none" w:sz="0" w:space="0" w:color="auto"/>
                                                    <w:bottom w:val="none" w:sz="0" w:space="0" w:color="auto"/>
                                                    <w:right w:val="none" w:sz="0" w:space="0" w:color="auto"/>
                                                  </w:divBdr>
                                                  <w:divsChild>
                                                    <w:div w:id="14425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295814">
      <w:bodyDiv w:val="1"/>
      <w:marLeft w:val="0"/>
      <w:marRight w:val="0"/>
      <w:marTop w:val="0"/>
      <w:marBottom w:val="0"/>
      <w:divBdr>
        <w:top w:val="none" w:sz="0" w:space="0" w:color="auto"/>
        <w:left w:val="none" w:sz="0" w:space="0" w:color="auto"/>
        <w:bottom w:val="none" w:sz="0" w:space="0" w:color="auto"/>
        <w:right w:val="none" w:sz="0" w:space="0" w:color="auto"/>
      </w:divBdr>
    </w:div>
    <w:div w:id="1645699845">
      <w:bodyDiv w:val="1"/>
      <w:marLeft w:val="0"/>
      <w:marRight w:val="0"/>
      <w:marTop w:val="0"/>
      <w:marBottom w:val="0"/>
      <w:divBdr>
        <w:top w:val="none" w:sz="0" w:space="0" w:color="auto"/>
        <w:left w:val="none" w:sz="0" w:space="0" w:color="auto"/>
        <w:bottom w:val="none" w:sz="0" w:space="0" w:color="auto"/>
        <w:right w:val="none" w:sz="0" w:space="0" w:color="auto"/>
      </w:divBdr>
      <w:divsChild>
        <w:div w:id="52126823">
          <w:marLeft w:val="0"/>
          <w:marRight w:val="0"/>
          <w:marTop w:val="0"/>
          <w:marBottom w:val="0"/>
          <w:divBdr>
            <w:top w:val="none" w:sz="0" w:space="0" w:color="auto"/>
            <w:left w:val="none" w:sz="0" w:space="0" w:color="auto"/>
            <w:bottom w:val="none" w:sz="0" w:space="0" w:color="auto"/>
            <w:right w:val="none" w:sz="0" w:space="0" w:color="auto"/>
          </w:divBdr>
          <w:divsChild>
            <w:div w:id="21462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6709">
      <w:bodyDiv w:val="1"/>
      <w:marLeft w:val="0"/>
      <w:marRight w:val="0"/>
      <w:marTop w:val="0"/>
      <w:marBottom w:val="0"/>
      <w:divBdr>
        <w:top w:val="none" w:sz="0" w:space="0" w:color="auto"/>
        <w:left w:val="none" w:sz="0" w:space="0" w:color="auto"/>
        <w:bottom w:val="none" w:sz="0" w:space="0" w:color="auto"/>
        <w:right w:val="none" w:sz="0" w:space="0" w:color="auto"/>
      </w:divBdr>
    </w:div>
    <w:div w:id="1957828953">
      <w:bodyDiv w:val="1"/>
      <w:marLeft w:val="0"/>
      <w:marRight w:val="0"/>
      <w:marTop w:val="0"/>
      <w:marBottom w:val="0"/>
      <w:divBdr>
        <w:top w:val="none" w:sz="0" w:space="0" w:color="auto"/>
        <w:left w:val="none" w:sz="0" w:space="0" w:color="auto"/>
        <w:bottom w:val="none" w:sz="0" w:space="0" w:color="auto"/>
        <w:right w:val="none" w:sz="0" w:space="0" w:color="auto"/>
      </w:divBdr>
      <w:divsChild>
        <w:div w:id="1062407929">
          <w:marLeft w:val="0"/>
          <w:marRight w:val="0"/>
          <w:marTop w:val="0"/>
          <w:marBottom w:val="0"/>
          <w:divBdr>
            <w:top w:val="none" w:sz="0" w:space="0" w:color="auto"/>
            <w:left w:val="none" w:sz="0" w:space="0" w:color="auto"/>
            <w:bottom w:val="none" w:sz="0" w:space="0" w:color="auto"/>
            <w:right w:val="none" w:sz="0" w:space="0" w:color="auto"/>
          </w:divBdr>
          <w:divsChild>
            <w:div w:id="1633900221">
              <w:marLeft w:val="0"/>
              <w:marRight w:val="0"/>
              <w:marTop w:val="0"/>
              <w:marBottom w:val="0"/>
              <w:divBdr>
                <w:top w:val="none" w:sz="0" w:space="0" w:color="auto"/>
                <w:left w:val="none" w:sz="0" w:space="0" w:color="auto"/>
                <w:bottom w:val="none" w:sz="0" w:space="0" w:color="auto"/>
                <w:right w:val="none" w:sz="0" w:space="0" w:color="auto"/>
              </w:divBdr>
              <w:divsChild>
                <w:div w:id="34356207">
                  <w:marLeft w:val="0"/>
                  <w:marRight w:val="0"/>
                  <w:marTop w:val="0"/>
                  <w:marBottom w:val="0"/>
                  <w:divBdr>
                    <w:top w:val="none" w:sz="0" w:space="0" w:color="auto"/>
                    <w:left w:val="none" w:sz="0" w:space="0" w:color="auto"/>
                    <w:bottom w:val="none" w:sz="0" w:space="0" w:color="auto"/>
                    <w:right w:val="none" w:sz="0" w:space="0" w:color="auto"/>
                  </w:divBdr>
                  <w:divsChild>
                    <w:div w:id="1601720996">
                      <w:marLeft w:val="0"/>
                      <w:marRight w:val="0"/>
                      <w:marTop w:val="0"/>
                      <w:marBottom w:val="0"/>
                      <w:divBdr>
                        <w:top w:val="none" w:sz="0" w:space="0" w:color="auto"/>
                        <w:left w:val="none" w:sz="0" w:space="0" w:color="auto"/>
                        <w:bottom w:val="none" w:sz="0" w:space="0" w:color="auto"/>
                        <w:right w:val="none" w:sz="0" w:space="0" w:color="auto"/>
                      </w:divBdr>
                      <w:divsChild>
                        <w:div w:id="793258309">
                          <w:marLeft w:val="0"/>
                          <w:marRight w:val="0"/>
                          <w:marTop w:val="0"/>
                          <w:marBottom w:val="0"/>
                          <w:divBdr>
                            <w:top w:val="none" w:sz="0" w:space="0" w:color="auto"/>
                            <w:left w:val="none" w:sz="0" w:space="0" w:color="auto"/>
                            <w:bottom w:val="none" w:sz="0" w:space="0" w:color="auto"/>
                            <w:right w:val="none" w:sz="0" w:space="0" w:color="auto"/>
                          </w:divBdr>
                          <w:divsChild>
                            <w:div w:id="2011329875">
                              <w:marLeft w:val="0"/>
                              <w:marRight w:val="0"/>
                              <w:marTop w:val="0"/>
                              <w:marBottom w:val="0"/>
                              <w:divBdr>
                                <w:top w:val="none" w:sz="0" w:space="0" w:color="auto"/>
                                <w:left w:val="none" w:sz="0" w:space="0" w:color="auto"/>
                                <w:bottom w:val="none" w:sz="0" w:space="0" w:color="auto"/>
                                <w:right w:val="none" w:sz="0" w:space="0" w:color="auto"/>
                              </w:divBdr>
                              <w:divsChild>
                                <w:div w:id="869993324">
                                  <w:marLeft w:val="0"/>
                                  <w:marRight w:val="0"/>
                                  <w:marTop w:val="0"/>
                                  <w:marBottom w:val="0"/>
                                  <w:divBdr>
                                    <w:top w:val="none" w:sz="0" w:space="0" w:color="auto"/>
                                    <w:left w:val="none" w:sz="0" w:space="0" w:color="auto"/>
                                    <w:bottom w:val="none" w:sz="0" w:space="0" w:color="auto"/>
                                    <w:right w:val="none" w:sz="0" w:space="0" w:color="auto"/>
                                  </w:divBdr>
                                </w:div>
                                <w:div w:id="941376501">
                                  <w:marLeft w:val="0"/>
                                  <w:marRight w:val="0"/>
                                  <w:marTop w:val="0"/>
                                  <w:marBottom w:val="0"/>
                                  <w:divBdr>
                                    <w:top w:val="none" w:sz="0" w:space="0" w:color="auto"/>
                                    <w:left w:val="none" w:sz="0" w:space="0" w:color="auto"/>
                                    <w:bottom w:val="none" w:sz="0" w:space="0" w:color="auto"/>
                                    <w:right w:val="none" w:sz="0" w:space="0" w:color="auto"/>
                                  </w:divBdr>
                                </w:div>
                                <w:div w:id="1089078582">
                                  <w:marLeft w:val="0"/>
                                  <w:marRight w:val="0"/>
                                  <w:marTop w:val="0"/>
                                  <w:marBottom w:val="0"/>
                                  <w:divBdr>
                                    <w:top w:val="none" w:sz="0" w:space="0" w:color="auto"/>
                                    <w:left w:val="none" w:sz="0" w:space="0" w:color="auto"/>
                                    <w:bottom w:val="none" w:sz="0" w:space="0" w:color="auto"/>
                                    <w:right w:val="none" w:sz="0" w:space="0" w:color="auto"/>
                                  </w:divBdr>
                                  <w:divsChild>
                                    <w:div w:id="141192725">
                                      <w:marLeft w:val="0"/>
                                      <w:marRight w:val="0"/>
                                      <w:marTop w:val="0"/>
                                      <w:marBottom w:val="0"/>
                                      <w:divBdr>
                                        <w:top w:val="none" w:sz="0" w:space="0" w:color="auto"/>
                                        <w:left w:val="none" w:sz="0" w:space="0" w:color="auto"/>
                                        <w:bottom w:val="none" w:sz="0" w:space="0" w:color="auto"/>
                                        <w:right w:val="none" w:sz="0" w:space="0" w:color="auto"/>
                                      </w:divBdr>
                                    </w:div>
                                  </w:divsChild>
                                </w:div>
                                <w:div w:id="1096632061">
                                  <w:marLeft w:val="0"/>
                                  <w:marRight w:val="0"/>
                                  <w:marTop w:val="0"/>
                                  <w:marBottom w:val="0"/>
                                  <w:divBdr>
                                    <w:top w:val="none" w:sz="0" w:space="0" w:color="auto"/>
                                    <w:left w:val="none" w:sz="0" w:space="0" w:color="auto"/>
                                    <w:bottom w:val="none" w:sz="0" w:space="0" w:color="auto"/>
                                    <w:right w:val="none" w:sz="0" w:space="0" w:color="auto"/>
                                  </w:divBdr>
                                </w:div>
                                <w:div w:id="1174421854">
                                  <w:marLeft w:val="0"/>
                                  <w:marRight w:val="0"/>
                                  <w:marTop w:val="0"/>
                                  <w:marBottom w:val="0"/>
                                  <w:divBdr>
                                    <w:top w:val="none" w:sz="0" w:space="0" w:color="auto"/>
                                    <w:left w:val="none" w:sz="0" w:space="0" w:color="auto"/>
                                    <w:bottom w:val="none" w:sz="0" w:space="0" w:color="auto"/>
                                    <w:right w:val="none" w:sz="0" w:space="0" w:color="auto"/>
                                  </w:divBdr>
                                </w:div>
                                <w:div w:id="1289162676">
                                  <w:marLeft w:val="0"/>
                                  <w:marRight w:val="0"/>
                                  <w:marTop w:val="0"/>
                                  <w:marBottom w:val="0"/>
                                  <w:divBdr>
                                    <w:top w:val="none" w:sz="0" w:space="0" w:color="auto"/>
                                    <w:left w:val="none" w:sz="0" w:space="0" w:color="auto"/>
                                    <w:bottom w:val="none" w:sz="0" w:space="0" w:color="auto"/>
                                    <w:right w:val="none" w:sz="0" w:space="0" w:color="auto"/>
                                  </w:divBdr>
                                </w:div>
                                <w:div w:id="1402824840">
                                  <w:marLeft w:val="0"/>
                                  <w:marRight w:val="0"/>
                                  <w:marTop w:val="0"/>
                                  <w:marBottom w:val="0"/>
                                  <w:divBdr>
                                    <w:top w:val="none" w:sz="0" w:space="0" w:color="auto"/>
                                    <w:left w:val="none" w:sz="0" w:space="0" w:color="auto"/>
                                    <w:bottom w:val="none" w:sz="0" w:space="0" w:color="auto"/>
                                    <w:right w:val="none" w:sz="0" w:space="0" w:color="auto"/>
                                  </w:divBdr>
                                </w:div>
                                <w:div w:id="1645088515">
                                  <w:marLeft w:val="0"/>
                                  <w:marRight w:val="0"/>
                                  <w:marTop w:val="0"/>
                                  <w:marBottom w:val="0"/>
                                  <w:divBdr>
                                    <w:top w:val="none" w:sz="0" w:space="0" w:color="auto"/>
                                    <w:left w:val="none" w:sz="0" w:space="0" w:color="auto"/>
                                    <w:bottom w:val="none" w:sz="0" w:space="0" w:color="auto"/>
                                    <w:right w:val="none" w:sz="0" w:space="0" w:color="auto"/>
                                  </w:divBdr>
                                </w:div>
                                <w:div w:id="1733388879">
                                  <w:marLeft w:val="0"/>
                                  <w:marRight w:val="0"/>
                                  <w:marTop w:val="0"/>
                                  <w:marBottom w:val="0"/>
                                  <w:divBdr>
                                    <w:top w:val="none" w:sz="0" w:space="0" w:color="auto"/>
                                    <w:left w:val="none" w:sz="0" w:space="0" w:color="auto"/>
                                    <w:bottom w:val="none" w:sz="0" w:space="0" w:color="auto"/>
                                    <w:right w:val="none" w:sz="0" w:space="0" w:color="auto"/>
                                  </w:divBdr>
                                </w:div>
                                <w:div w:id="1962151081">
                                  <w:marLeft w:val="0"/>
                                  <w:marRight w:val="0"/>
                                  <w:marTop w:val="0"/>
                                  <w:marBottom w:val="0"/>
                                  <w:divBdr>
                                    <w:top w:val="none" w:sz="0" w:space="0" w:color="auto"/>
                                    <w:left w:val="none" w:sz="0" w:space="0" w:color="auto"/>
                                    <w:bottom w:val="none" w:sz="0" w:space="0" w:color="auto"/>
                                    <w:right w:val="none" w:sz="0" w:space="0" w:color="auto"/>
                                  </w:divBdr>
                                </w:div>
                                <w:div w:id="2025471831">
                                  <w:marLeft w:val="0"/>
                                  <w:marRight w:val="0"/>
                                  <w:marTop w:val="0"/>
                                  <w:marBottom w:val="0"/>
                                  <w:divBdr>
                                    <w:top w:val="none" w:sz="0" w:space="0" w:color="auto"/>
                                    <w:left w:val="none" w:sz="0" w:space="0" w:color="auto"/>
                                    <w:bottom w:val="none" w:sz="0" w:space="0" w:color="auto"/>
                                    <w:right w:val="none" w:sz="0" w:space="0" w:color="auto"/>
                                  </w:divBdr>
                                </w:div>
                                <w:div w:id="21355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5076">
                          <w:marLeft w:val="0"/>
                          <w:marRight w:val="0"/>
                          <w:marTop w:val="0"/>
                          <w:marBottom w:val="0"/>
                          <w:divBdr>
                            <w:top w:val="none" w:sz="0" w:space="0" w:color="auto"/>
                            <w:left w:val="none" w:sz="0" w:space="0" w:color="auto"/>
                            <w:bottom w:val="none" w:sz="0" w:space="0" w:color="auto"/>
                            <w:right w:val="none" w:sz="0" w:space="0" w:color="auto"/>
                          </w:divBdr>
                          <w:divsChild>
                            <w:div w:id="1670710305">
                              <w:marLeft w:val="0"/>
                              <w:marRight w:val="0"/>
                              <w:marTop w:val="0"/>
                              <w:marBottom w:val="0"/>
                              <w:divBdr>
                                <w:top w:val="none" w:sz="0" w:space="0" w:color="auto"/>
                                <w:left w:val="none" w:sz="0" w:space="0" w:color="auto"/>
                                <w:bottom w:val="none" w:sz="0" w:space="0" w:color="auto"/>
                                <w:right w:val="none" w:sz="0" w:space="0" w:color="auto"/>
                              </w:divBdr>
                              <w:divsChild>
                                <w:div w:id="1134909922">
                                  <w:marLeft w:val="0"/>
                                  <w:marRight w:val="0"/>
                                  <w:marTop w:val="0"/>
                                  <w:marBottom w:val="0"/>
                                  <w:divBdr>
                                    <w:top w:val="none" w:sz="0" w:space="0" w:color="auto"/>
                                    <w:left w:val="none" w:sz="0" w:space="0" w:color="auto"/>
                                    <w:bottom w:val="none" w:sz="0" w:space="0" w:color="auto"/>
                                    <w:right w:val="none" w:sz="0" w:space="0" w:color="auto"/>
                                  </w:divBdr>
                                  <w:divsChild>
                                    <w:div w:id="100030168">
                                      <w:marLeft w:val="0"/>
                                      <w:marRight w:val="0"/>
                                      <w:marTop w:val="0"/>
                                      <w:marBottom w:val="0"/>
                                      <w:divBdr>
                                        <w:top w:val="none" w:sz="0" w:space="0" w:color="auto"/>
                                        <w:left w:val="none" w:sz="0" w:space="0" w:color="auto"/>
                                        <w:bottom w:val="none" w:sz="0" w:space="0" w:color="auto"/>
                                        <w:right w:val="none" w:sz="0" w:space="0" w:color="auto"/>
                                      </w:divBdr>
                                      <w:divsChild>
                                        <w:div w:id="257906424">
                                          <w:marLeft w:val="0"/>
                                          <w:marRight w:val="0"/>
                                          <w:marTop w:val="0"/>
                                          <w:marBottom w:val="0"/>
                                          <w:divBdr>
                                            <w:top w:val="none" w:sz="0" w:space="0" w:color="auto"/>
                                            <w:left w:val="none" w:sz="0" w:space="0" w:color="auto"/>
                                            <w:bottom w:val="single" w:sz="8" w:space="5" w:color="000000"/>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portnhsfraud.nhs.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gital.nhs.uk/article/3638/Personal-data-access-FAQ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igital.nhs.uk/information-governance-allianc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co.org.uk/for-organisations/guidance-index/data-protection-and-privacy-and-electronic-communicatio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E3E92-9F38-4B13-950C-9F772F5C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6186</Words>
  <Characters>38920</Characters>
  <Application>Microsoft Office Word</Application>
  <DocSecurity>0</DocSecurity>
  <Lines>324</Lines>
  <Paragraphs>90</Paragraphs>
  <ScaleCrop>false</ScaleCrop>
  <HeadingPairs>
    <vt:vector size="2" baseType="variant">
      <vt:variant>
        <vt:lpstr>Title</vt:lpstr>
      </vt:variant>
      <vt:variant>
        <vt:i4>1</vt:i4>
      </vt:variant>
    </vt:vector>
  </HeadingPairs>
  <TitlesOfParts>
    <vt:vector size="1" baseType="lpstr">
      <vt:lpstr>Confidentiality and Data Protection Policy</vt:lpstr>
    </vt:vector>
  </TitlesOfParts>
  <LinksUpToDate>false</LinksUpToDate>
  <CharactersWithSpaces>45016</CharactersWithSpaces>
  <SharedDoc>false</SharedDoc>
  <HLinks>
    <vt:vector size="12" baseType="variant">
      <vt:variant>
        <vt:i4>6684727</vt:i4>
      </vt:variant>
      <vt:variant>
        <vt:i4>6</vt:i4>
      </vt:variant>
      <vt:variant>
        <vt:i4>0</vt:i4>
      </vt:variant>
      <vt:variant>
        <vt:i4>5</vt:i4>
      </vt:variant>
      <vt:variant>
        <vt:lpwstr>http://www.ico.gov.uk/</vt:lpwstr>
      </vt:variant>
      <vt:variant>
        <vt:lpwstr/>
      </vt:variant>
      <vt:variant>
        <vt:i4>786542</vt:i4>
      </vt:variant>
      <vt:variant>
        <vt:i4>0</vt:i4>
      </vt:variant>
      <vt:variant>
        <vt:i4>0</vt:i4>
      </vt:variant>
      <vt:variant>
        <vt:i4>5</vt:i4>
      </vt:variant>
      <vt:variant>
        <vt:lpwstr>mailto:infogov@wsybcsu.nhs.uk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and Data Protection Policy</dc:title>
  <dc:creator/>
  <cp:lastModifiedBy/>
  <cp:revision>1</cp:revision>
  <dcterms:created xsi:type="dcterms:W3CDTF">2019-11-04T10:46:00Z</dcterms:created>
  <dcterms:modified xsi:type="dcterms:W3CDTF">2019-11-04T10:46:00Z</dcterms:modified>
</cp:coreProperties>
</file>